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07" w:rsidRDefault="00615A07" w:rsidP="00615A07">
      <w:pPr>
        <w:pStyle w:val="Heading1"/>
        <w:jc w:val="center"/>
        <w:rPr>
          <w:rFonts w:hint="cs"/>
          <w:color w:val="000000"/>
          <w:sz w:val="28"/>
          <w:szCs w:val="28"/>
        </w:rPr>
      </w:pPr>
    </w:p>
    <w:p w:rsidR="00615A07" w:rsidRDefault="00615A07" w:rsidP="00615A07">
      <w:pPr>
        <w:pStyle w:val="Heading1"/>
        <w:jc w:val="center"/>
        <w:rPr>
          <w:color w:val="000000"/>
          <w:sz w:val="28"/>
          <w:szCs w:val="28"/>
        </w:rPr>
      </w:pPr>
    </w:p>
    <w:p w:rsidR="00615A07" w:rsidRDefault="00615A07" w:rsidP="00615A07">
      <w:pPr>
        <w:pStyle w:val="Heading1"/>
        <w:jc w:val="center"/>
        <w:rPr>
          <w:color w:val="000000"/>
          <w:sz w:val="28"/>
          <w:szCs w:val="28"/>
        </w:rPr>
      </w:pPr>
    </w:p>
    <w:p w:rsidR="00615A07" w:rsidRDefault="00615A07" w:rsidP="00615A07">
      <w:pPr>
        <w:rPr>
          <w:rFonts w:ascii="Times New Roman" w:eastAsia="Times New Roman" w:hAnsi="Times New Roman" w:cs="Times New Roman"/>
          <w:b/>
          <w:bCs/>
          <w:kern w:val="36"/>
          <w:sz w:val="16"/>
          <w:szCs w:val="16"/>
          <w:lang w:eastAsia="en-US"/>
        </w:rPr>
      </w:pPr>
    </w:p>
    <w:p w:rsidR="00615A07" w:rsidRPr="00615A07" w:rsidRDefault="00615A07" w:rsidP="00615A07">
      <w:pPr>
        <w:jc w:val="center"/>
        <w:rPr>
          <w:sz w:val="16"/>
          <w:szCs w:val="16"/>
          <w:lang w:eastAsia="en-US"/>
        </w:rPr>
      </w:pPr>
    </w:p>
    <w:p w:rsidR="00615A07" w:rsidRDefault="00615A07" w:rsidP="00615A07">
      <w:pPr>
        <w:pStyle w:val="Heading1"/>
        <w:jc w:val="center"/>
        <w:rPr>
          <w:color w:val="000000"/>
          <w:sz w:val="28"/>
          <w:szCs w:val="28"/>
        </w:rPr>
      </w:pPr>
    </w:p>
    <w:p w:rsidR="00615A07" w:rsidRPr="00615A07" w:rsidRDefault="00615A07" w:rsidP="00615A07">
      <w:pPr>
        <w:pStyle w:val="Heading1"/>
        <w:bidi w:val="0"/>
        <w:jc w:val="center"/>
        <w:rPr>
          <w:color w:val="000000"/>
          <w:sz w:val="32"/>
          <w:szCs w:val="32"/>
        </w:rPr>
      </w:pPr>
      <w:r w:rsidRPr="00615A07">
        <w:rPr>
          <w:color w:val="000000"/>
          <w:sz w:val="32"/>
          <w:szCs w:val="32"/>
        </w:rPr>
        <w:t>Palestinian Central Bureau of Statistics (PCBS)</w:t>
      </w:r>
    </w:p>
    <w:p w:rsidR="00615A07" w:rsidRDefault="00615A07" w:rsidP="00615A07">
      <w:pPr>
        <w:bidi/>
        <w:spacing w:line="240" w:lineRule="auto"/>
        <w:jc w:val="center"/>
        <w:rPr>
          <w:rFonts w:asciiTheme="majorBidi" w:eastAsiaTheme="minorHAnsi" w:hAnsiTheme="majorBidi" w:cstheme="majorBidi"/>
          <w:sz w:val="16"/>
          <w:szCs w:val="16"/>
        </w:rPr>
      </w:pPr>
    </w:p>
    <w:p w:rsidR="00615A07" w:rsidRPr="00CD6162" w:rsidRDefault="00615A07" w:rsidP="00615A07">
      <w:pPr>
        <w:spacing w:line="240" w:lineRule="auto"/>
        <w:jc w:val="center"/>
        <w:rPr>
          <w:sz w:val="28"/>
          <w:szCs w:val="28"/>
          <w:rtl/>
        </w:rPr>
      </w:pPr>
      <w:r w:rsidRPr="00CD6162">
        <w:rPr>
          <w:rFonts w:ascii="Times New Roman" w:hAnsi="Times New Roman"/>
          <w:b/>
          <w:bCs/>
          <w:sz w:val="28"/>
          <w:szCs w:val="28"/>
        </w:rPr>
        <w:t>Increase in the Wholesale Price</w:t>
      </w:r>
      <w:r w:rsidRPr="00CD6162">
        <w:rPr>
          <w:rFonts w:ascii="Times New Roman" w:hAnsi="Times New Roman"/>
          <w:sz w:val="28"/>
          <w:szCs w:val="28"/>
          <w:vertAlign w:val="superscript"/>
        </w:rPr>
        <w:t>1</w:t>
      </w:r>
      <w:r w:rsidRPr="00CD6162">
        <w:rPr>
          <w:rFonts w:ascii="Times New Roman" w:hAnsi="Times New Roman"/>
          <w:b/>
          <w:bCs/>
          <w:sz w:val="28"/>
          <w:szCs w:val="28"/>
        </w:rPr>
        <w:t xml:space="preserve"> Index during the Third </w:t>
      </w:r>
      <w:r w:rsidR="00CD6162" w:rsidRPr="00CD6162">
        <w:rPr>
          <w:rFonts w:ascii="Times New Roman" w:hAnsi="Times New Roman" w:cs="Times New Roman"/>
          <w:b/>
          <w:bCs/>
          <w:kern w:val="36"/>
          <w:sz w:val="28"/>
          <w:szCs w:val="28"/>
        </w:rPr>
        <w:t xml:space="preserve">Quarter </w:t>
      </w:r>
      <w:r w:rsidRPr="00CD6162">
        <w:rPr>
          <w:rFonts w:ascii="Times New Roman" w:hAnsi="Times New Roman"/>
          <w:b/>
          <w:bCs/>
          <w:sz w:val="28"/>
          <w:szCs w:val="28"/>
        </w:rPr>
        <w:t>of 2017</w:t>
      </w:r>
    </w:p>
    <w:p w:rsidR="00FC160D" w:rsidRPr="00FC160D" w:rsidRDefault="00FC160D" w:rsidP="00FC160D">
      <w:pPr>
        <w:spacing w:line="240" w:lineRule="auto"/>
        <w:outlineLvl w:val="0"/>
        <w:rPr>
          <w:rFonts w:ascii="Times New Roman" w:hAnsi="Times New Roman" w:cs="Times New Roman"/>
          <w:b/>
          <w:bCs/>
          <w:sz w:val="24"/>
          <w:szCs w:val="24"/>
        </w:rPr>
      </w:pPr>
    </w:p>
    <w:p w:rsidR="00FC160D" w:rsidRPr="00FC160D" w:rsidRDefault="00FC160D" w:rsidP="00FC160D">
      <w:pPr>
        <w:spacing w:line="240" w:lineRule="auto"/>
        <w:jc w:val="both"/>
        <w:outlineLvl w:val="0"/>
        <w:rPr>
          <w:rFonts w:ascii="Times New Roman" w:hAnsi="Times New Roman" w:cs="Times New Roman"/>
          <w:sz w:val="24"/>
          <w:szCs w:val="24"/>
        </w:rPr>
      </w:pPr>
      <w:r w:rsidRPr="00FC160D">
        <w:rPr>
          <w:rFonts w:ascii="Times New Roman" w:hAnsi="Times New Roman" w:cs="Times New Roman"/>
          <w:sz w:val="24"/>
          <w:szCs w:val="24"/>
        </w:rPr>
        <w:t xml:space="preserve">The overall WPI in Palestine with its base year (2007=100) reached </w:t>
      </w:r>
      <w:r>
        <w:rPr>
          <w:rFonts w:ascii="Times New Roman" w:hAnsi="Times New Roman" w:cs="Times New Roman"/>
          <w:sz w:val="24"/>
          <w:szCs w:val="24"/>
        </w:rPr>
        <w:t>124.51</w:t>
      </w:r>
      <w:r w:rsidRPr="00FC160D">
        <w:rPr>
          <w:rFonts w:ascii="Times New Roman" w:hAnsi="Times New Roman" w:cs="Times New Roman"/>
          <w:sz w:val="24"/>
          <w:szCs w:val="24"/>
        </w:rPr>
        <w:t xml:space="preserve"> in the </w:t>
      </w:r>
      <w:r>
        <w:rPr>
          <w:rFonts w:ascii="Times New Roman" w:hAnsi="Times New Roman" w:cs="Times New Roman"/>
          <w:sz w:val="24"/>
          <w:szCs w:val="24"/>
        </w:rPr>
        <w:t>Third</w:t>
      </w:r>
      <w:r w:rsidRPr="00FC160D">
        <w:rPr>
          <w:rFonts w:ascii="Times New Roman" w:hAnsi="Times New Roman" w:cs="Times New Roman"/>
          <w:sz w:val="24"/>
          <w:szCs w:val="24"/>
        </w:rPr>
        <w:t xml:space="preserve"> quarter 2017, which indicates a</w:t>
      </w:r>
      <w:r>
        <w:rPr>
          <w:rFonts w:ascii="Times New Roman" w:hAnsi="Times New Roman" w:cs="Times New Roman"/>
          <w:sz w:val="24"/>
          <w:szCs w:val="24"/>
        </w:rPr>
        <w:t>n</w:t>
      </w:r>
      <w:r w:rsidRPr="00FC160D">
        <w:rPr>
          <w:rFonts w:ascii="Times New Roman" w:hAnsi="Times New Roman" w:cs="Times New Roman"/>
          <w:sz w:val="24"/>
          <w:szCs w:val="24"/>
        </w:rPr>
        <w:t xml:space="preserve"> </w:t>
      </w:r>
      <w:r>
        <w:rPr>
          <w:rFonts w:ascii="Times New Roman" w:hAnsi="Times New Roman" w:cs="Times New Roman"/>
          <w:sz w:val="24"/>
          <w:szCs w:val="24"/>
        </w:rPr>
        <w:t>in</w:t>
      </w:r>
      <w:r w:rsidRPr="00FC160D">
        <w:rPr>
          <w:rFonts w:ascii="Times New Roman" w:hAnsi="Times New Roman" w:cs="Times New Roman"/>
          <w:sz w:val="24"/>
          <w:szCs w:val="24"/>
        </w:rPr>
        <w:t xml:space="preserve">crease by </w:t>
      </w:r>
      <w:r>
        <w:rPr>
          <w:rFonts w:ascii="Times New Roman" w:hAnsi="Times New Roman" w:cs="Times New Roman"/>
          <w:sz w:val="24"/>
          <w:szCs w:val="24"/>
        </w:rPr>
        <w:t>2.06</w:t>
      </w:r>
      <w:r w:rsidRPr="00FC160D">
        <w:rPr>
          <w:rFonts w:ascii="Times New Roman" w:hAnsi="Times New Roman" w:cs="Times New Roman"/>
          <w:sz w:val="24"/>
          <w:szCs w:val="24"/>
        </w:rPr>
        <w:t xml:space="preserve">% compared with the </w:t>
      </w:r>
      <w:r>
        <w:rPr>
          <w:rFonts w:ascii="Times New Roman" w:hAnsi="Times New Roman" w:cs="Times New Roman"/>
          <w:sz w:val="24"/>
          <w:szCs w:val="24"/>
        </w:rPr>
        <w:t>Second</w:t>
      </w:r>
      <w:r w:rsidRPr="00FC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160D">
        <w:rPr>
          <w:rFonts w:ascii="Times New Roman" w:hAnsi="Times New Roman" w:cs="Times New Roman"/>
          <w:sz w:val="24"/>
          <w:szCs w:val="24"/>
        </w:rPr>
        <w:t>quarter 2017.</w:t>
      </w:r>
    </w:p>
    <w:p w:rsidR="00FC160D" w:rsidRPr="00615A07" w:rsidRDefault="00FC160D" w:rsidP="00FC160D">
      <w:pPr>
        <w:spacing w:line="240" w:lineRule="auto"/>
        <w:jc w:val="both"/>
        <w:outlineLvl w:val="0"/>
        <w:rPr>
          <w:rFonts w:ascii="Times New Roman" w:hAnsi="Times New Roman" w:cs="Times New Roman"/>
          <w:sz w:val="16"/>
          <w:szCs w:val="16"/>
        </w:rPr>
      </w:pPr>
    </w:p>
    <w:p w:rsidR="00FC160D" w:rsidRPr="00FC160D" w:rsidRDefault="00FC160D" w:rsidP="00FC160D">
      <w:pPr>
        <w:pStyle w:val="BodyText2"/>
        <w:bidi w:val="0"/>
        <w:spacing w:after="0" w:line="240" w:lineRule="auto"/>
        <w:jc w:val="both"/>
        <w:outlineLvl w:val="0"/>
      </w:pPr>
      <w:r w:rsidRPr="00FC160D">
        <w:t xml:space="preserve">WPI for local products (2007=100) reached </w:t>
      </w:r>
      <w:r>
        <w:t>127.32</w:t>
      </w:r>
      <w:r w:rsidRPr="00FC160D">
        <w:t xml:space="preserve"> in the </w:t>
      </w:r>
      <w:r>
        <w:t>Third</w:t>
      </w:r>
      <w:r w:rsidRPr="00FC160D">
        <w:t xml:space="preserve"> quarter 2017, which indicates a</w:t>
      </w:r>
      <w:r>
        <w:t>n</w:t>
      </w:r>
      <w:r w:rsidRPr="00FC160D">
        <w:t xml:space="preserve"> </w:t>
      </w:r>
      <w:r>
        <w:t>in</w:t>
      </w:r>
      <w:r w:rsidRPr="00FC160D">
        <w:t xml:space="preserve">crease by </w:t>
      </w:r>
      <w:r>
        <w:t>3.22</w:t>
      </w:r>
      <w:r w:rsidRPr="00FC160D">
        <w:t xml:space="preserve">% compared with the </w:t>
      </w:r>
      <w:r>
        <w:t>Second</w:t>
      </w:r>
      <w:r w:rsidRPr="00FC160D">
        <w:t xml:space="preserve"> quarter 2017. </w:t>
      </w:r>
    </w:p>
    <w:p w:rsidR="00FC160D" w:rsidRPr="00615A07" w:rsidRDefault="00FC160D" w:rsidP="00FC160D">
      <w:pPr>
        <w:spacing w:line="240" w:lineRule="auto"/>
        <w:jc w:val="both"/>
        <w:outlineLvl w:val="0"/>
        <w:rPr>
          <w:rFonts w:ascii="Times New Roman" w:hAnsi="Times New Roman" w:cs="Times New Roman"/>
          <w:sz w:val="16"/>
          <w:szCs w:val="16"/>
        </w:rPr>
      </w:pPr>
    </w:p>
    <w:p w:rsidR="00FC160D" w:rsidRPr="00FC160D" w:rsidRDefault="00FC160D" w:rsidP="00FC160D">
      <w:pPr>
        <w:pStyle w:val="BodyText2"/>
        <w:bidi w:val="0"/>
        <w:spacing w:after="0" w:line="240" w:lineRule="auto"/>
        <w:jc w:val="both"/>
        <w:outlineLvl w:val="0"/>
      </w:pPr>
      <w:r w:rsidRPr="00FC160D">
        <w:t xml:space="preserve">WPI for imported products (2007=100) reached </w:t>
      </w:r>
      <w:r>
        <w:t>122.01</w:t>
      </w:r>
      <w:r w:rsidRPr="00FC160D">
        <w:t xml:space="preserve"> in the </w:t>
      </w:r>
      <w:r>
        <w:t>Third</w:t>
      </w:r>
      <w:r w:rsidRPr="00FC160D">
        <w:t xml:space="preserve"> quarter 2017, which indicates a</w:t>
      </w:r>
      <w:r>
        <w:t xml:space="preserve"> slight</w:t>
      </w:r>
      <w:r w:rsidRPr="00FC160D">
        <w:t xml:space="preserve"> </w:t>
      </w:r>
      <w:r>
        <w:t>in</w:t>
      </w:r>
      <w:r w:rsidRPr="00FC160D">
        <w:t xml:space="preserve">crease by </w:t>
      </w:r>
      <w:r>
        <w:t>0.08</w:t>
      </w:r>
      <w:r w:rsidRPr="00FC160D">
        <w:t xml:space="preserve">% compared with the </w:t>
      </w:r>
      <w:r>
        <w:t>Second</w:t>
      </w:r>
      <w:r w:rsidRPr="00FC160D">
        <w:t xml:space="preserve"> quarter 2017.</w:t>
      </w:r>
    </w:p>
    <w:p w:rsidR="00FC160D" w:rsidRPr="00615A07" w:rsidRDefault="00FC160D" w:rsidP="00FC160D">
      <w:pPr>
        <w:pStyle w:val="BodyText2"/>
        <w:bidi w:val="0"/>
        <w:spacing w:after="0" w:line="240" w:lineRule="auto"/>
        <w:jc w:val="both"/>
        <w:outlineLvl w:val="0"/>
        <w:rPr>
          <w:sz w:val="16"/>
          <w:szCs w:val="16"/>
        </w:rPr>
      </w:pPr>
    </w:p>
    <w:p w:rsidR="00FC160D" w:rsidRPr="00615A07" w:rsidRDefault="00FC160D" w:rsidP="00FC160D">
      <w:pPr>
        <w:autoSpaceDE w:val="0"/>
        <w:autoSpaceDN w:val="0"/>
        <w:adjustRightInd w:val="0"/>
        <w:spacing w:line="240" w:lineRule="auto"/>
        <w:jc w:val="both"/>
        <w:rPr>
          <w:rFonts w:ascii="Times New Roman" w:hAnsi="Times New Roman" w:cs="Times New Roman"/>
          <w:sz w:val="25"/>
          <w:szCs w:val="25"/>
        </w:rPr>
      </w:pPr>
      <w:r w:rsidRPr="00615A07">
        <w:rPr>
          <w:rFonts w:ascii="Times New Roman" w:hAnsi="Times New Roman" w:cs="Times New Roman"/>
          <w:snapToGrid w:val="0"/>
          <w:sz w:val="25"/>
          <w:szCs w:val="25"/>
        </w:rPr>
        <w:t>The table shows the relative share and the quarterly percent changes in WPI by major activities in Palestine for First quarter – Third quarter 2017:</w:t>
      </w:r>
      <w:r w:rsidRPr="00615A07">
        <w:rPr>
          <w:rFonts w:ascii="Times New Roman" w:hAnsi="Times New Roman" w:cs="Times New Roman"/>
          <w:sz w:val="25"/>
          <w:szCs w:val="25"/>
        </w:rPr>
        <w:t xml:space="preserve"> </w:t>
      </w:r>
    </w:p>
    <w:tbl>
      <w:tblPr>
        <w:tblpPr w:leftFromText="180" w:rightFromText="180" w:vertAnchor="text" w:horzAnchor="margin" w:tblpXSpec="center" w:tblpY="124"/>
        <w:tblW w:w="64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546"/>
        <w:gridCol w:w="1242"/>
        <w:gridCol w:w="850"/>
        <w:gridCol w:w="992"/>
        <w:gridCol w:w="851"/>
      </w:tblGrid>
      <w:tr w:rsidR="00FC160D" w:rsidRPr="00615A07" w:rsidTr="00615A07">
        <w:tc>
          <w:tcPr>
            <w:tcW w:w="2546" w:type="dxa"/>
            <w:vMerge w:val="restart"/>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Major Activities</w:t>
            </w:r>
          </w:p>
        </w:tc>
        <w:tc>
          <w:tcPr>
            <w:tcW w:w="1242" w:type="dxa"/>
            <w:vMerge w:val="restart"/>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Relative Share</w:t>
            </w:r>
          </w:p>
        </w:tc>
        <w:tc>
          <w:tcPr>
            <w:tcW w:w="2693" w:type="dxa"/>
            <w:gridSpan w:val="3"/>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Quarterly Percent Change</w:t>
            </w:r>
          </w:p>
        </w:tc>
      </w:tr>
      <w:tr w:rsidR="00FC160D" w:rsidRPr="00615A07" w:rsidTr="00615A07">
        <w:tc>
          <w:tcPr>
            <w:tcW w:w="2546" w:type="dxa"/>
            <w:vMerge/>
            <w:vAlign w:val="center"/>
          </w:tcPr>
          <w:p w:rsidR="00FC160D" w:rsidRPr="00615A07" w:rsidRDefault="00FC160D" w:rsidP="006E028D">
            <w:pPr>
              <w:spacing w:line="240" w:lineRule="auto"/>
              <w:jc w:val="center"/>
              <w:rPr>
                <w:rFonts w:ascii="Times New Roman" w:hAnsi="Times New Roman" w:cs="Times New Roman"/>
                <w:b/>
                <w:bCs/>
                <w:sz w:val="24"/>
                <w:szCs w:val="24"/>
              </w:rPr>
            </w:pPr>
          </w:p>
        </w:tc>
        <w:tc>
          <w:tcPr>
            <w:tcW w:w="1242" w:type="dxa"/>
            <w:vMerge/>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p>
        </w:tc>
        <w:tc>
          <w:tcPr>
            <w:tcW w:w="2693" w:type="dxa"/>
            <w:gridSpan w:val="3"/>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2017</w:t>
            </w:r>
          </w:p>
        </w:tc>
      </w:tr>
      <w:tr w:rsidR="006E028D" w:rsidRPr="00615A07" w:rsidTr="00615A07">
        <w:trPr>
          <w:trHeight w:val="81"/>
        </w:trPr>
        <w:tc>
          <w:tcPr>
            <w:tcW w:w="2546" w:type="dxa"/>
            <w:vMerge/>
            <w:vAlign w:val="center"/>
          </w:tcPr>
          <w:p w:rsidR="00FC160D" w:rsidRPr="00615A07" w:rsidRDefault="00FC160D" w:rsidP="006E028D">
            <w:pPr>
              <w:spacing w:line="240" w:lineRule="auto"/>
              <w:jc w:val="center"/>
              <w:rPr>
                <w:rFonts w:ascii="Times New Roman" w:hAnsi="Times New Roman" w:cs="Times New Roman"/>
                <w:b/>
                <w:bCs/>
                <w:sz w:val="24"/>
                <w:szCs w:val="24"/>
              </w:rPr>
            </w:pPr>
          </w:p>
        </w:tc>
        <w:tc>
          <w:tcPr>
            <w:tcW w:w="1242" w:type="dxa"/>
            <w:vMerge/>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p>
        </w:tc>
        <w:tc>
          <w:tcPr>
            <w:tcW w:w="850" w:type="dxa"/>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Q1</w:t>
            </w:r>
          </w:p>
        </w:tc>
        <w:tc>
          <w:tcPr>
            <w:tcW w:w="992" w:type="dxa"/>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Q2</w:t>
            </w:r>
          </w:p>
        </w:tc>
        <w:tc>
          <w:tcPr>
            <w:tcW w:w="851" w:type="dxa"/>
            <w:vAlign w:val="center"/>
          </w:tcPr>
          <w:p w:rsidR="00FC160D" w:rsidRPr="00615A07" w:rsidRDefault="00FC160D" w:rsidP="006E028D">
            <w:pPr>
              <w:autoSpaceDE w:val="0"/>
              <w:autoSpaceDN w:val="0"/>
              <w:adjustRightInd w:val="0"/>
              <w:spacing w:line="240" w:lineRule="auto"/>
              <w:jc w:val="center"/>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Q3</w:t>
            </w:r>
          </w:p>
        </w:tc>
      </w:tr>
      <w:tr w:rsidR="006E028D" w:rsidRPr="00615A07" w:rsidTr="00615A07">
        <w:trPr>
          <w:trHeight w:val="327"/>
        </w:trPr>
        <w:tc>
          <w:tcPr>
            <w:tcW w:w="2546" w:type="dxa"/>
            <w:vAlign w:val="center"/>
          </w:tcPr>
          <w:p w:rsidR="00FC160D" w:rsidRPr="00615A07" w:rsidRDefault="00FC160D" w:rsidP="00FC160D">
            <w:pPr>
              <w:spacing w:line="240" w:lineRule="auto"/>
              <w:rPr>
                <w:rFonts w:ascii="Times New Roman" w:hAnsi="Times New Roman" w:cs="Times New Roman"/>
                <w:sz w:val="24"/>
                <w:szCs w:val="24"/>
              </w:rPr>
            </w:pPr>
            <w:r w:rsidRPr="00615A07">
              <w:rPr>
                <w:rFonts w:ascii="Times New Roman" w:hAnsi="Times New Roman" w:cs="Times New Roman"/>
                <w:sz w:val="24"/>
                <w:szCs w:val="24"/>
              </w:rPr>
              <w:t>Agriculture</w:t>
            </w:r>
          </w:p>
        </w:tc>
        <w:tc>
          <w:tcPr>
            <w:tcW w:w="124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29%</w:t>
            </w:r>
          </w:p>
        </w:tc>
        <w:tc>
          <w:tcPr>
            <w:tcW w:w="850"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+2.58</w:t>
            </w:r>
          </w:p>
        </w:tc>
        <w:tc>
          <w:tcPr>
            <w:tcW w:w="99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-8.12</w:t>
            </w:r>
          </w:p>
        </w:tc>
        <w:tc>
          <w:tcPr>
            <w:tcW w:w="851" w:type="dxa"/>
            <w:vAlign w:val="center"/>
          </w:tcPr>
          <w:p w:rsidR="00FC160D" w:rsidRPr="00615A07" w:rsidRDefault="006E028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+6.26</w:t>
            </w:r>
          </w:p>
        </w:tc>
      </w:tr>
      <w:tr w:rsidR="006E028D" w:rsidRPr="00615A07" w:rsidTr="00615A07">
        <w:trPr>
          <w:trHeight w:val="275"/>
        </w:trPr>
        <w:tc>
          <w:tcPr>
            <w:tcW w:w="2546" w:type="dxa"/>
            <w:vAlign w:val="center"/>
          </w:tcPr>
          <w:p w:rsidR="00FC160D" w:rsidRPr="00615A07" w:rsidRDefault="00FC160D" w:rsidP="00FC160D">
            <w:pPr>
              <w:spacing w:line="240" w:lineRule="auto"/>
              <w:rPr>
                <w:rFonts w:ascii="Times New Roman" w:hAnsi="Times New Roman" w:cs="Times New Roman"/>
                <w:sz w:val="24"/>
                <w:szCs w:val="24"/>
              </w:rPr>
            </w:pPr>
            <w:r w:rsidRPr="00615A07">
              <w:rPr>
                <w:rFonts w:ascii="Times New Roman" w:hAnsi="Times New Roman" w:cs="Times New Roman"/>
                <w:sz w:val="24"/>
                <w:szCs w:val="24"/>
              </w:rPr>
              <w:t>Fishing</w:t>
            </w:r>
          </w:p>
        </w:tc>
        <w:tc>
          <w:tcPr>
            <w:tcW w:w="124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0.10%</w:t>
            </w:r>
          </w:p>
        </w:tc>
        <w:tc>
          <w:tcPr>
            <w:tcW w:w="850"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-24.05</w:t>
            </w:r>
          </w:p>
        </w:tc>
        <w:tc>
          <w:tcPr>
            <w:tcW w:w="99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+9.66</w:t>
            </w:r>
          </w:p>
        </w:tc>
        <w:tc>
          <w:tcPr>
            <w:tcW w:w="851" w:type="dxa"/>
            <w:vAlign w:val="center"/>
          </w:tcPr>
          <w:p w:rsidR="00FC160D" w:rsidRPr="00615A07" w:rsidRDefault="006E028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-5.96</w:t>
            </w:r>
          </w:p>
        </w:tc>
      </w:tr>
      <w:tr w:rsidR="006E028D" w:rsidRPr="00615A07" w:rsidTr="00615A07">
        <w:trPr>
          <w:trHeight w:val="378"/>
        </w:trPr>
        <w:tc>
          <w:tcPr>
            <w:tcW w:w="2546" w:type="dxa"/>
            <w:vAlign w:val="center"/>
          </w:tcPr>
          <w:p w:rsidR="00FC160D" w:rsidRPr="00615A07" w:rsidRDefault="00FC160D" w:rsidP="00FC160D">
            <w:pPr>
              <w:spacing w:line="240" w:lineRule="auto"/>
              <w:rPr>
                <w:rFonts w:ascii="Times New Roman" w:hAnsi="Times New Roman" w:cs="Times New Roman"/>
                <w:sz w:val="24"/>
                <w:szCs w:val="24"/>
              </w:rPr>
            </w:pPr>
            <w:r w:rsidRPr="00615A07">
              <w:rPr>
                <w:rFonts w:ascii="Times New Roman" w:hAnsi="Times New Roman" w:cs="Times New Roman"/>
                <w:sz w:val="24"/>
                <w:szCs w:val="24"/>
              </w:rPr>
              <w:t>Mining and quarrying</w:t>
            </w:r>
          </w:p>
        </w:tc>
        <w:tc>
          <w:tcPr>
            <w:tcW w:w="124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0.90%</w:t>
            </w:r>
          </w:p>
        </w:tc>
        <w:tc>
          <w:tcPr>
            <w:tcW w:w="850"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+4.23</w:t>
            </w:r>
          </w:p>
        </w:tc>
        <w:tc>
          <w:tcPr>
            <w:tcW w:w="99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+1.78</w:t>
            </w:r>
          </w:p>
        </w:tc>
        <w:tc>
          <w:tcPr>
            <w:tcW w:w="851" w:type="dxa"/>
            <w:vAlign w:val="center"/>
          </w:tcPr>
          <w:p w:rsidR="00FC160D" w:rsidRPr="00615A07" w:rsidRDefault="006E028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-0.78</w:t>
            </w:r>
          </w:p>
        </w:tc>
      </w:tr>
      <w:tr w:rsidR="006E028D" w:rsidRPr="00615A07" w:rsidTr="00615A07">
        <w:trPr>
          <w:trHeight w:val="257"/>
        </w:trPr>
        <w:tc>
          <w:tcPr>
            <w:tcW w:w="2546" w:type="dxa"/>
            <w:vAlign w:val="center"/>
          </w:tcPr>
          <w:p w:rsidR="00FC160D" w:rsidRPr="00615A07" w:rsidRDefault="00FC160D" w:rsidP="00FC160D">
            <w:pPr>
              <w:spacing w:line="240" w:lineRule="auto"/>
              <w:rPr>
                <w:rFonts w:ascii="Times New Roman" w:hAnsi="Times New Roman" w:cs="Times New Roman"/>
                <w:sz w:val="24"/>
                <w:szCs w:val="24"/>
              </w:rPr>
            </w:pPr>
            <w:r w:rsidRPr="00615A07">
              <w:rPr>
                <w:rFonts w:ascii="Times New Roman" w:hAnsi="Times New Roman" w:cs="Times New Roman"/>
                <w:sz w:val="24"/>
                <w:szCs w:val="24"/>
              </w:rPr>
              <w:t>Manufacturing</w:t>
            </w:r>
          </w:p>
        </w:tc>
        <w:tc>
          <w:tcPr>
            <w:tcW w:w="124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70%</w:t>
            </w:r>
          </w:p>
        </w:tc>
        <w:tc>
          <w:tcPr>
            <w:tcW w:w="850"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-0.58</w:t>
            </w:r>
          </w:p>
        </w:tc>
        <w:tc>
          <w:tcPr>
            <w:tcW w:w="99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-0.77</w:t>
            </w:r>
          </w:p>
        </w:tc>
        <w:tc>
          <w:tcPr>
            <w:tcW w:w="851" w:type="dxa"/>
            <w:vAlign w:val="center"/>
          </w:tcPr>
          <w:p w:rsidR="00FC160D" w:rsidRPr="00615A07" w:rsidRDefault="006E028D" w:rsidP="00FC160D">
            <w:pPr>
              <w:autoSpaceDE w:val="0"/>
              <w:autoSpaceDN w:val="0"/>
              <w:adjustRightInd w:val="0"/>
              <w:spacing w:line="240" w:lineRule="auto"/>
              <w:rPr>
                <w:rFonts w:ascii="Times New Roman" w:hAnsi="Times New Roman" w:cs="Times New Roman"/>
                <w:snapToGrid w:val="0"/>
                <w:sz w:val="24"/>
                <w:szCs w:val="24"/>
              </w:rPr>
            </w:pPr>
            <w:r w:rsidRPr="00615A07">
              <w:rPr>
                <w:rFonts w:ascii="Times New Roman" w:hAnsi="Times New Roman" w:cs="Times New Roman"/>
                <w:snapToGrid w:val="0"/>
                <w:sz w:val="24"/>
                <w:szCs w:val="24"/>
              </w:rPr>
              <w:t>+0.31</w:t>
            </w:r>
          </w:p>
        </w:tc>
      </w:tr>
      <w:tr w:rsidR="006E028D" w:rsidRPr="00615A07" w:rsidTr="00615A07">
        <w:tc>
          <w:tcPr>
            <w:tcW w:w="2546" w:type="dxa"/>
            <w:vAlign w:val="center"/>
          </w:tcPr>
          <w:p w:rsidR="00FC160D" w:rsidRPr="00615A07" w:rsidRDefault="00FC160D" w:rsidP="00FC160D">
            <w:pPr>
              <w:spacing w:line="240" w:lineRule="auto"/>
              <w:rPr>
                <w:rFonts w:ascii="Times New Roman" w:hAnsi="Times New Roman" w:cs="Times New Roman"/>
                <w:b/>
                <w:bCs/>
                <w:sz w:val="24"/>
                <w:szCs w:val="24"/>
              </w:rPr>
            </w:pPr>
            <w:r w:rsidRPr="00615A07">
              <w:rPr>
                <w:rFonts w:ascii="Times New Roman" w:hAnsi="Times New Roman" w:cs="Times New Roman"/>
                <w:b/>
                <w:bCs/>
                <w:sz w:val="24"/>
                <w:szCs w:val="24"/>
              </w:rPr>
              <w:t>All Items Price Index</w:t>
            </w:r>
          </w:p>
        </w:tc>
        <w:tc>
          <w:tcPr>
            <w:tcW w:w="124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100%</w:t>
            </w:r>
          </w:p>
        </w:tc>
        <w:tc>
          <w:tcPr>
            <w:tcW w:w="850"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+0.39</w:t>
            </w:r>
          </w:p>
        </w:tc>
        <w:tc>
          <w:tcPr>
            <w:tcW w:w="992" w:type="dxa"/>
            <w:vAlign w:val="center"/>
          </w:tcPr>
          <w:p w:rsidR="00FC160D" w:rsidRPr="00615A07" w:rsidRDefault="00FC160D" w:rsidP="00FC160D">
            <w:pPr>
              <w:autoSpaceDE w:val="0"/>
              <w:autoSpaceDN w:val="0"/>
              <w:adjustRightInd w:val="0"/>
              <w:spacing w:line="240" w:lineRule="auto"/>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-3.04</w:t>
            </w:r>
          </w:p>
        </w:tc>
        <w:tc>
          <w:tcPr>
            <w:tcW w:w="851" w:type="dxa"/>
            <w:vAlign w:val="center"/>
          </w:tcPr>
          <w:p w:rsidR="00FC160D" w:rsidRPr="00615A07" w:rsidRDefault="006E028D" w:rsidP="00FC160D">
            <w:pPr>
              <w:autoSpaceDE w:val="0"/>
              <w:autoSpaceDN w:val="0"/>
              <w:adjustRightInd w:val="0"/>
              <w:spacing w:line="240" w:lineRule="auto"/>
              <w:rPr>
                <w:rFonts w:ascii="Times New Roman" w:hAnsi="Times New Roman" w:cs="Times New Roman"/>
                <w:b/>
                <w:bCs/>
                <w:snapToGrid w:val="0"/>
                <w:sz w:val="24"/>
                <w:szCs w:val="24"/>
              </w:rPr>
            </w:pPr>
            <w:r w:rsidRPr="00615A07">
              <w:rPr>
                <w:rFonts w:ascii="Times New Roman" w:hAnsi="Times New Roman" w:cs="Times New Roman"/>
                <w:b/>
                <w:bCs/>
                <w:snapToGrid w:val="0"/>
                <w:sz w:val="24"/>
                <w:szCs w:val="24"/>
              </w:rPr>
              <w:t>+2.06</w:t>
            </w:r>
          </w:p>
        </w:tc>
      </w:tr>
    </w:tbl>
    <w:p w:rsidR="00FC160D" w:rsidRDefault="00FC160D"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Default="00051D73" w:rsidP="006E028D">
      <w:pPr>
        <w:autoSpaceDE w:val="0"/>
        <w:autoSpaceDN w:val="0"/>
        <w:adjustRightInd w:val="0"/>
        <w:spacing w:line="240" w:lineRule="auto"/>
        <w:jc w:val="both"/>
        <w:rPr>
          <w:rFonts w:ascii="Times New Roman" w:hAnsi="Times New Roman" w:cs="Times New Roman"/>
          <w:sz w:val="24"/>
          <w:szCs w:val="24"/>
        </w:rPr>
      </w:pPr>
    </w:p>
    <w:p w:rsidR="00051D73" w:rsidRPr="00615A07" w:rsidRDefault="00051D73" w:rsidP="006E028D">
      <w:pPr>
        <w:autoSpaceDE w:val="0"/>
        <w:autoSpaceDN w:val="0"/>
        <w:adjustRightInd w:val="0"/>
        <w:spacing w:line="240" w:lineRule="auto"/>
        <w:jc w:val="both"/>
        <w:rPr>
          <w:rFonts w:ascii="Times New Roman" w:hAnsi="Times New Roman" w:cs="Times New Roman"/>
          <w:sz w:val="16"/>
          <w:szCs w:val="16"/>
        </w:rPr>
      </w:pPr>
    </w:p>
    <w:p w:rsidR="00FC160D" w:rsidRPr="00FC160D" w:rsidRDefault="00FC160D" w:rsidP="00FC160D">
      <w:pPr>
        <w:pStyle w:val="BodyText2"/>
        <w:bidi w:val="0"/>
        <w:spacing w:after="0" w:line="240" w:lineRule="auto"/>
        <w:jc w:val="both"/>
        <w:outlineLvl w:val="0"/>
      </w:pPr>
      <w:r w:rsidRPr="00FC160D">
        <w:rPr>
          <w:vertAlign w:val="superscript"/>
        </w:rPr>
        <w:t>1</w:t>
      </w:r>
      <w:r w:rsidRPr="00FC160D">
        <w:t xml:space="preserve"> </w:t>
      </w:r>
      <w:r w:rsidRPr="00FC160D">
        <w:rPr>
          <w:sz w:val="20"/>
          <w:szCs w:val="20"/>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r w:rsidRPr="00FC160D">
        <w:t xml:space="preserve"> </w:t>
      </w:r>
    </w:p>
    <w:p w:rsidR="006E028D" w:rsidRPr="00615A07" w:rsidRDefault="006E028D" w:rsidP="00D3221B">
      <w:pPr>
        <w:pStyle w:val="BodyText2"/>
        <w:bidi w:val="0"/>
        <w:spacing w:after="0" w:line="240" w:lineRule="auto"/>
        <w:outlineLvl w:val="0"/>
        <w:rPr>
          <w:b/>
          <w:bCs/>
          <w:sz w:val="16"/>
          <w:szCs w:val="16"/>
        </w:rPr>
      </w:pPr>
    </w:p>
    <w:p w:rsidR="00FC160D" w:rsidRPr="00615A07" w:rsidRDefault="00FC160D" w:rsidP="006E028D">
      <w:pPr>
        <w:pStyle w:val="BodyText2"/>
        <w:bidi w:val="0"/>
        <w:spacing w:after="0" w:line="240" w:lineRule="auto"/>
        <w:jc w:val="center"/>
        <w:outlineLvl w:val="0"/>
        <w:rPr>
          <w:sz w:val="25"/>
          <w:szCs w:val="25"/>
        </w:rPr>
      </w:pPr>
      <w:r w:rsidRPr="00615A07">
        <w:rPr>
          <w:b/>
          <w:bCs/>
          <w:sz w:val="25"/>
          <w:szCs w:val="25"/>
        </w:rPr>
        <w:t xml:space="preserve">The Wholesale Price Index in Palestine for </w:t>
      </w:r>
      <w:r w:rsidR="006E028D" w:rsidRPr="00615A07">
        <w:rPr>
          <w:b/>
          <w:bCs/>
          <w:kern w:val="36"/>
          <w:sz w:val="25"/>
          <w:szCs w:val="25"/>
        </w:rPr>
        <w:t>Third</w:t>
      </w:r>
      <w:r w:rsidRPr="00615A07">
        <w:rPr>
          <w:b/>
          <w:bCs/>
          <w:kern w:val="36"/>
          <w:sz w:val="25"/>
          <w:szCs w:val="25"/>
        </w:rPr>
        <w:t xml:space="preserve"> </w:t>
      </w:r>
      <w:r w:rsidRPr="00615A07">
        <w:rPr>
          <w:b/>
          <w:bCs/>
          <w:sz w:val="25"/>
          <w:szCs w:val="25"/>
        </w:rPr>
        <w:t>quarter 2015 –</w:t>
      </w:r>
      <w:r w:rsidRPr="00615A07">
        <w:rPr>
          <w:b/>
          <w:bCs/>
          <w:color w:val="000000"/>
          <w:sz w:val="25"/>
          <w:szCs w:val="25"/>
        </w:rPr>
        <w:t xml:space="preserve"> </w:t>
      </w:r>
      <w:r w:rsidR="006E028D" w:rsidRPr="00615A07">
        <w:rPr>
          <w:b/>
          <w:bCs/>
          <w:kern w:val="36"/>
          <w:sz w:val="25"/>
          <w:szCs w:val="25"/>
        </w:rPr>
        <w:t>Third</w:t>
      </w:r>
      <w:r w:rsidRPr="00615A07">
        <w:rPr>
          <w:b/>
          <w:bCs/>
          <w:kern w:val="36"/>
          <w:sz w:val="25"/>
          <w:szCs w:val="25"/>
        </w:rPr>
        <w:t xml:space="preserve"> </w:t>
      </w:r>
      <w:r w:rsidRPr="00615A07">
        <w:rPr>
          <w:b/>
          <w:bCs/>
          <w:color w:val="000000"/>
          <w:sz w:val="25"/>
          <w:szCs w:val="25"/>
        </w:rPr>
        <w:t>quarter 2017</w:t>
      </w:r>
    </w:p>
    <w:p w:rsidR="00FC160D" w:rsidRPr="00615A07" w:rsidRDefault="00FC160D" w:rsidP="006E028D">
      <w:pPr>
        <w:spacing w:line="240" w:lineRule="auto"/>
        <w:jc w:val="center"/>
        <w:rPr>
          <w:rFonts w:ascii="Times New Roman" w:hAnsi="Times New Roman" w:cs="Times New Roman"/>
          <w:b/>
          <w:bCs/>
          <w:sz w:val="25"/>
          <w:szCs w:val="25"/>
        </w:rPr>
      </w:pPr>
      <w:r w:rsidRPr="00615A07">
        <w:rPr>
          <w:rFonts w:ascii="Times New Roman" w:hAnsi="Times New Roman" w:cs="Times New Roman"/>
          <w:b/>
          <w:bCs/>
          <w:sz w:val="25"/>
          <w:szCs w:val="25"/>
        </w:rPr>
        <w:t>(Base year 2007=100)</w:t>
      </w:r>
    </w:p>
    <w:p w:rsidR="006E028D" w:rsidRPr="006E028D" w:rsidRDefault="006E028D" w:rsidP="00615A07">
      <w:pPr>
        <w:spacing w:line="240" w:lineRule="auto"/>
        <w:rPr>
          <w:rFonts w:ascii="Times New Roman" w:hAnsi="Times New Roman" w:cs="Times New Roman"/>
          <w:b/>
          <w:bCs/>
          <w:sz w:val="10"/>
          <w:szCs w:val="10"/>
        </w:rPr>
      </w:pPr>
    </w:p>
    <w:tbl>
      <w:tblPr>
        <w:tblStyle w:val="TableGrid"/>
        <w:tblpPr w:leftFromText="180" w:rightFromText="180" w:vertAnchor="text" w:tblpXSpec="center" w:tblpY="1"/>
        <w:tblOverlap w:val="never"/>
        <w:tblW w:w="0" w:type="auto"/>
        <w:tblLook w:val="04A0"/>
      </w:tblPr>
      <w:tblGrid>
        <w:gridCol w:w="5076"/>
      </w:tblGrid>
      <w:tr w:rsidR="006E028D" w:rsidTr="00CD6162">
        <w:tc>
          <w:tcPr>
            <w:tcW w:w="4968" w:type="dxa"/>
          </w:tcPr>
          <w:p w:rsidR="006E028D" w:rsidRDefault="006E028D" w:rsidP="00615A0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bCs/>
                <w:sz w:val="24"/>
                <w:szCs w:val="24"/>
              </w:rPr>
            </w:pPr>
            <w:r w:rsidRPr="006E028D">
              <w:rPr>
                <w:rFonts w:ascii="Times New Roman" w:hAnsi="Times New Roman" w:cs="Times New Roman"/>
                <w:b/>
                <w:bCs/>
                <w:noProof/>
                <w:sz w:val="24"/>
                <w:szCs w:val="24"/>
                <w:lang w:eastAsia="en-US"/>
              </w:rPr>
              <w:drawing>
                <wp:inline distT="0" distB="0" distL="0" distR="0">
                  <wp:extent cx="3086100" cy="2190750"/>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872E5" w:rsidRPr="00946AF7" w:rsidRDefault="00615A07" w:rsidP="00FC160D">
      <w:pPr>
        <w:spacing w:line="240" w:lineRule="auto"/>
        <w:rPr>
          <w:rFonts w:asciiTheme="majorBidi" w:hAnsiTheme="majorBidi" w:cstheme="majorBidi"/>
          <w:szCs w:val="24"/>
        </w:rPr>
      </w:pPr>
      <w:r>
        <w:rPr>
          <w:rFonts w:asciiTheme="majorBidi" w:hAnsiTheme="majorBidi" w:cstheme="majorBidi"/>
          <w:szCs w:val="24"/>
        </w:rPr>
        <w:br w:type="textWrapping" w:clear="all"/>
      </w:r>
    </w:p>
    <w:sectPr w:rsidR="00B872E5" w:rsidRPr="00946AF7" w:rsidSect="00615A07">
      <w:headerReference w:type="default" r:id="rId9"/>
      <w:footerReference w:type="even" r:id="rId10"/>
      <w:footerReference w:type="default" r:id="rId11"/>
      <w:pgSz w:w="11900" w:h="16840" w:code="9"/>
      <w:pgMar w:top="720" w:right="720" w:bottom="720" w:left="720" w:header="709" w:footer="737" w:gutter="0"/>
      <w:cols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51" w:rsidRDefault="00B86651" w:rsidP="0089530C">
      <w:r>
        <w:separator/>
      </w:r>
    </w:p>
  </w:endnote>
  <w:endnote w:type="continuationSeparator" w:id="0">
    <w:p w:rsidR="00B86651" w:rsidRDefault="00B86651" w:rsidP="0089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Arabic-Regular">
    <w:charset w:val="00"/>
    <w:family w:val="auto"/>
    <w:pitch w:val="variable"/>
    <w:sig w:usb0="8000202F" w:usb1="8000A04A"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CE" w:rsidRDefault="00783CFA" w:rsidP="00B872E5">
    <w:pPr>
      <w:pStyle w:val="Footer"/>
      <w:framePr w:wrap="none" w:vAnchor="text" w:hAnchor="margin" w:xAlign="center" w:y="1"/>
      <w:rPr>
        <w:rStyle w:val="PageNumber"/>
      </w:rPr>
    </w:pPr>
    <w:r>
      <w:rPr>
        <w:rStyle w:val="PageNumber"/>
      </w:rPr>
      <w:fldChar w:fldCharType="begin"/>
    </w:r>
    <w:r w:rsidR="009779CE">
      <w:rPr>
        <w:rStyle w:val="PageNumber"/>
      </w:rPr>
      <w:instrText xml:space="preserve">PAGE  </w:instrText>
    </w:r>
    <w:r>
      <w:rPr>
        <w:rStyle w:val="PageNumber"/>
      </w:rPr>
      <w:fldChar w:fldCharType="end"/>
    </w:r>
  </w:p>
  <w:p w:rsidR="009779CE" w:rsidRDefault="00783CFA" w:rsidP="00B872E5">
    <w:pPr>
      <w:pStyle w:val="Footer"/>
      <w:framePr w:wrap="none" w:vAnchor="text" w:hAnchor="margin" w:y="1"/>
      <w:rPr>
        <w:rStyle w:val="PageNumber"/>
      </w:rPr>
    </w:pPr>
    <w:r>
      <w:rPr>
        <w:rStyle w:val="PageNumber"/>
      </w:rPr>
      <w:fldChar w:fldCharType="begin"/>
    </w:r>
    <w:r w:rsidR="009779CE">
      <w:rPr>
        <w:rStyle w:val="PageNumber"/>
      </w:rPr>
      <w:instrText xml:space="preserve">PAGE  </w:instrText>
    </w:r>
    <w:r>
      <w:rPr>
        <w:rStyle w:val="PageNumber"/>
      </w:rPr>
      <w:fldChar w:fldCharType="end"/>
    </w:r>
  </w:p>
  <w:p w:rsidR="009779CE" w:rsidRDefault="009779CE"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CE" w:rsidRDefault="00783CFA" w:rsidP="0020755C">
    <w:pPr>
      <w:pStyle w:val="Footer"/>
      <w:framePr w:wrap="none" w:vAnchor="text" w:hAnchor="page" w:x="5902" w:y="391"/>
      <w:rPr>
        <w:rStyle w:val="PageNumber"/>
      </w:rPr>
    </w:pPr>
    <w:r>
      <w:rPr>
        <w:rStyle w:val="PageNumber"/>
      </w:rPr>
      <w:fldChar w:fldCharType="begin"/>
    </w:r>
    <w:r w:rsidR="009779CE">
      <w:rPr>
        <w:rStyle w:val="PageNumber"/>
      </w:rPr>
      <w:instrText xml:space="preserve">PAGE  </w:instrText>
    </w:r>
    <w:r>
      <w:rPr>
        <w:rStyle w:val="PageNumber"/>
      </w:rPr>
      <w:fldChar w:fldCharType="separate"/>
    </w:r>
    <w:r w:rsidR="00CD6162">
      <w:rPr>
        <w:rStyle w:val="PageNumber"/>
        <w:noProof/>
      </w:rPr>
      <w:t>1</w:t>
    </w:r>
    <w:r>
      <w:rPr>
        <w:rStyle w:val="PageNumber"/>
      </w:rPr>
      <w:fldChar w:fldCharType="end"/>
    </w:r>
  </w:p>
  <w:p w:rsidR="009779CE" w:rsidRDefault="00615A07" w:rsidP="0020755C">
    <w:pPr>
      <w:pStyle w:val="Footer"/>
      <w:ind w:firstLine="360"/>
    </w:pPr>
    <w:r>
      <w:rPr>
        <w:noProof/>
      </w:rPr>
      <w:drawing>
        <wp:anchor distT="0" distB="0" distL="114300" distR="114300" simplePos="0" relativeHeight="251664384" behindDoc="1" locked="0" layoutInCell="1" allowOverlap="1">
          <wp:simplePos x="0" y="0"/>
          <wp:positionH relativeFrom="column">
            <wp:posOffset>-733425</wp:posOffset>
          </wp:positionH>
          <wp:positionV relativeFrom="paragraph">
            <wp:posOffset>-371474</wp:posOffset>
          </wp:positionV>
          <wp:extent cx="7839075" cy="8763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7839075" cy="876300"/>
                  </a:xfrm>
                  <a:prstGeom prst="rect">
                    <a:avLst/>
                  </a:prstGeom>
                </pic:spPr>
              </pic:pic>
            </a:graphicData>
          </a:graphic>
        </wp:anchor>
      </w:drawing>
    </w:r>
    <w:r w:rsidR="00783CFA">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426pt;margin-top:-28.05pt;width:106.8pt;height:22.05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" filled="f" stroked="f">
          <v:textbox>
            <w:txbxContent>
              <w:p w:rsidR="009779CE" w:rsidRDefault="009779CE" w:rsidP="009120E4">
                <w:r>
                  <w:t xml:space="preserve">Date: </w:t>
                </w:r>
                <w:r w:rsidR="009120E4">
                  <w:t>19</w:t>
                </w:r>
                <w:r>
                  <w:t>/</w:t>
                </w:r>
                <w:r w:rsidR="002969D1">
                  <w:t>10</w:t>
                </w:r>
                <w:r>
                  <w:t>/2017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51" w:rsidRDefault="00B86651" w:rsidP="0089530C">
      <w:r>
        <w:separator/>
      </w:r>
    </w:p>
  </w:footnote>
  <w:footnote w:type="continuationSeparator" w:id="0">
    <w:p w:rsidR="00B86651" w:rsidRDefault="00B86651" w:rsidP="0089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CE" w:rsidRDefault="009779CE" w:rsidP="00C14BC7">
    <w:pPr>
      <w:pStyle w:val="Header"/>
      <w:tabs>
        <w:tab w:val="clear" w:pos="4680"/>
        <w:tab w:val="clear" w:pos="9360"/>
        <w:tab w:val="left" w:pos="6074"/>
      </w:tabs>
    </w:pPr>
    <w:r>
      <w:rPr>
        <w:noProof/>
      </w:rPr>
      <w:drawing>
        <wp:anchor distT="0" distB="0" distL="114300" distR="114300" simplePos="0" relativeHeight="251665408" behindDoc="1" locked="0" layoutInCell="1" allowOverlap="1">
          <wp:simplePos x="0" y="0"/>
          <wp:positionH relativeFrom="column">
            <wp:posOffset>-542925</wp:posOffset>
          </wp:positionH>
          <wp:positionV relativeFrom="paragraph">
            <wp:posOffset>-335915</wp:posOffset>
          </wp:positionV>
          <wp:extent cx="7648575" cy="1238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BS+Census Header E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7648575" cy="1238250"/>
                  </a:xfrm>
                  <a:prstGeom prst="rect">
                    <a:avLst/>
                  </a:prstGeom>
                </pic:spPr>
              </pic:pic>
            </a:graphicData>
          </a:graphic>
        </wp:anchor>
      </w:drawing>
    </w:r>
    <w:r w:rsidR="00783CFA">
      <w:rPr>
        <w:noProof/>
      </w:rPr>
      <w:pict>
        <v:rect id="Rectangle 1" o:spid="_x0000_s4098" style="position:absolute;margin-left:398pt;margin-top:-26.25pt;width:83.35pt;height:116.75pt;z-index:25166028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" filled="f" stroked="f" strokeweight="1pt">
          <w10:wrap type="square"/>
        </v:rect>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CE9"/>
    <w:multiLevelType w:val="hybridMultilevel"/>
    <w:tmpl w:val="47B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058E"/>
    <w:multiLevelType w:val="hybridMultilevel"/>
    <w:tmpl w:val="E5CA1D00"/>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D32B9F"/>
    <w:multiLevelType w:val="hybridMultilevel"/>
    <w:tmpl w:val="B024D0F4"/>
    <w:lvl w:ilvl="0" w:tplc="62AA81A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9530C"/>
    <w:rsid w:val="00034B7B"/>
    <w:rsid w:val="00051D73"/>
    <w:rsid w:val="00056B6B"/>
    <w:rsid w:val="00067389"/>
    <w:rsid w:val="00072B81"/>
    <w:rsid w:val="00093963"/>
    <w:rsid w:val="000E4622"/>
    <w:rsid w:val="000F2B27"/>
    <w:rsid w:val="0011601B"/>
    <w:rsid w:val="001420EB"/>
    <w:rsid w:val="0014537B"/>
    <w:rsid w:val="0015057C"/>
    <w:rsid w:val="0018441C"/>
    <w:rsid w:val="001856B3"/>
    <w:rsid w:val="00195F2D"/>
    <w:rsid w:val="00196F45"/>
    <w:rsid w:val="001A0E1C"/>
    <w:rsid w:val="001B292F"/>
    <w:rsid w:val="001D36DE"/>
    <w:rsid w:val="0020755C"/>
    <w:rsid w:val="00220D12"/>
    <w:rsid w:val="00240A97"/>
    <w:rsid w:val="00254168"/>
    <w:rsid w:val="00261F3C"/>
    <w:rsid w:val="00275645"/>
    <w:rsid w:val="002969D1"/>
    <w:rsid w:val="002B502D"/>
    <w:rsid w:val="002C2E7D"/>
    <w:rsid w:val="002C6488"/>
    <w:rsid w:val="002D5C92"/>
    <w:rsid w:val="003169B5"/>
    <w:rsid w:val="00316DE5"/>
    <w:rsid w:val="003261C5"/>
    <w:rsid w:val="0036755C"/>
    <w:rsid w:val="00383F0B"/>
    <w:rsid w:val="00384BEE"/>
    <w:rsid w:val="003A0C36"/>
    <w:rsid w:val="003C749E"/>
    <w:rsid w:val="00445E01"/>
    <w:rsid w:val="004B6A6D"/>
    <w:rsid w:val="00516C24"/>
    <w:rsid w:val="005822C1"/>
    <w:rsid w:val="005843C1"/>
    <w:rsid w:val="005903C1"/>
    <w:rsid w:val="005D6762"/>
    <w:rsid w:val="005F5A03"/>
    <w:rsid w:val="00615A07"/>
    <w:rsid w:val="006447DC"/>
    <w:rsid w:val="00666F5E"/>
    <w:rsid w:val="00690EAD"/>
    <w:rsid w:val="006957CF"/>
    <w:rsid w:val="006A6F27"/>
    <w:rsid w:val="006A7E51"/>
    <w:rsid w:val="006D5356"/>
    <w:rsid w:val="006E028D"/>
    <w:rsid w:val="00716385"/>
    <w:rsid w:val="00723FD2"/>
    <w:rsid w:val="00745A8C"/>
    <w:rsid w:val="007534F9"/>
    <w:rsid w:val="00772BD7"/>
    <w:rsid w:val="00783AF7"/>
    <w:rsid w:val="00783CFA"/>
    <w:rsid w:val="007D73EA"/>
    <w:rsid w:val="00816FF4"/>
    <w:rsid w:val="00820746"/>
    <w:rsid w:val="0089530C"/>
    <w:rsid w:val="008D44F5"/>
    <w:rsid w:val="009120E4"/>
    <w:rsid w:val="00946AF7"/>
    <w:rsid w:val="009779CE"/>
    <w:rsid w:val="00990374"/>
    <w:rsid w:val="00993606"/>
    <w:rsid w:val="009B2B6C"/>
    <w:rsid w:val="009B7263"/>
    <w:rsid w:val="009C3123"/>
    <w:rsid w:val="009F090A"/>
    <w:rsid w:val="009F2E29"/>
    <w:rsid w:val="00A02D70"/>
    <w:rsid w:val="00A25C9B"/>
    <w:rsid w:val="00A50554"/>
    <w:rsid w:val="00A7242A"/>
    <w:rsid w:val="00A76524"/>
    <w:rsid w:val="00A826A1"/>
    <w:rsid w:val="00AC1324"/>
    <w:rsid w:val="00AC23A7"/>
    <w:rsid w:val="00AC54F7"/>
    <w:rsid w:val="00AC7248"/>
    <w:rsid w:val="00AE3A1E"/>
    <w:rsid w:val="00AE67D3"/>
    <w:rsid w:val="00AF28BB"/>
    <w:rsid w:val="00AF4FBE"/>
    <w:rsid w:val="00AF60D4"/>
    <w:rsid w:val="00B2076E"/>
    <w:rsid w:val="00B25F02"/>
    <w:rsid w:val="00B67E38"/>
    <w:rsid w:val="00B84F06"/>
    <w:rsid w:val="00B86651"/>
    <w:rsid w:val="00B872E5"/>
    <w:rsid w:val="00B9244C"/>
    <w:rsid w:val="00BA46E1"/>
    <w:rsid w:val="00BD1EE7"/>
    <w:rsid w:val="00BE3E35"/>
    <w:rsid w:val="00C07884"/>
    <w:rsid w:val="00C14BC7"/>
    <w:rsid w:val="00C50E44"/>
    <w:rsid w:val="00C918EA"/>
    <w:rsid w:val="00CA0566"/>
    <w:rsid w:val="00CC79C0"/>
    <w:rsid w:val="00CD6162"/>
    <w:rsid w:val="00CF24E8"/>
    <w:rsid w:val="00CF3357"/>
    <w:rsid w:val="00CF67B2"/>
    <w:rsid w:val="00D1484C"/>
    <w:rsid w:val="00D209ED"/>
    <w:rsid w:val="00D3221B"/>
    <w:rsid w:val="00D83B3A"/>
    <w:rsid w:val="00DF27B1"/>
    <w:rsid w:val="00DF7513"/>
    <w:rsid w:val="00E13FE4"/>
    <w:rsid w:val="00E167FF"/>
    <w:rsid w:val="00E26037"/>
    <w:rsid w:val="00E316C4"/>
    <w:rsid w:val="00E60B42"/>
    <w:rsid w:val="00E76D45"/>
    <w:rsid w:val="00E9198C"/>
    <w:rsid w:val="00E94B00"/>
    <w:rsid w:val="00ED08BB"/>
    <w:rsid w:val="00F32AFB"/>
    <w:rsid w:val="00F83E8F"/>
    <w:rsid w:val="00F84AD7"/>
    <w:rsid w:val="00FA1DB6"/>
    <w:rsid w:val="00FA2CE0"/>
    <w:rsid w:val="00FC160D"/>
    <w:rsid w:val="00FC33A0"/>
    <w:rsid w:val="00FD3517"/>
    <w:rsid w:val="00FF1D96"/>
    <w:rsid w:val="00FF2F57"/>
    <w:rsid w:val="00FF51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paragraph" w:styleId="Heading1">
    <w:name w:val="heading 1"/>
    <w:basedOn w:val="Normal"/>
    <w:link w:val="Heading1Char"/>
    <w:uiPriority w:val="9"/>
    <w:qFormat/>
    <w:rsid w:val="00615A07"/>
    <w:pPr>
      <w:keepNext/>
      <w:pBdr>
        <w:top w:val="none" w:sz="0" w:space="0" w:color="auto"/>
        <w:left w:val="none" w:sz="0" w:space="0" w:color="auto"/>
        <w:bottom w:val="none" w:sz="0" w:space="0" w:color="auto"/>
        <w:right w:val="none" w:sz="0" w:space="0" w:color="auto"/>
        <w:between w:val="none" w:sz="0" w:space="0" w:color="auto"/>
      </w:pBdr>
      <w:bidi/>
      <w:spacing w:line="240" w:lineRule="auto"/>
      <w:jc w:val="both"/>
      <w:outlineLvl w:val="0"/>
    </w:pPr>
    <w:rPr>
      <w:rFonts w:ascii="Times New Roman" w:eastAsia="Times New Roman" w:hAnsi="Times New Roman" w:cs="Times New Roman"/>
      <w:b/>
      <w:bCs/>
      <w:color w:val="auto"/>
      <w:kern w:val="3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customStyle="1" w:styleId="BasicParagraph">
    <w:name w:val="[Basic Paragraph]"/>
    <w:basedOn w:val="Normal"/>
    <w:uiPriority w:val="99"/>
    <w:rsid w:val="00C07884"/>
    <w:pPr>
      <w:widowControl w:val="0"/>
      <w:pBdr>
        <w:top w:val="none" w:sz="0" w:space="0" w:color="auto"/>
        <w:left w:val="none" w:sz="0" w:space="0" w:color="auto"/>
        <w:bottom w:val="none" w:sz="0" w:space="0" w:color="auto"/>
        <w:right w:val="none" w:sz="0" w:space="0" w:color="auto"/>
        <w:between w:val="none" w:sz="0" w:space="0" w:color="auto"/>
      </w:pBdr>
      <w:autoSpaceDE w:val="0"/>
      <w:autoSpaceDN w:val="0"/>
      <w:bidi/>
      <w:adjustRightInd w:val="0"/>
      <w:spacing w:line="288" w:lineRule="auto"/>
      <w:textAlignment w:val="center"/>
    </w:pPr>
    <w:rPr>
      <w:rFonts w:ascii="AdobeArabic-Regular" w:eastAsiaTheme="minorHAnsi" w:hAnsi="AdobeArabic-Regular" w:cs="AdobeArabic-Regular"/>
      <w:sz w:val="24"/>
      <w:szCs w:val="24"/>
      <w:lang w:eastAsia="en-US" w:bidi="ar-YE"/>
    </w:rPr>
  </w:style>
  <w:style w:type="paragraph" w:styleId="BodyText3">
    <w:name w:val="Body Text 3"/>
    <w:basedOn w:val="Normal"/>
    <w:link w:val="BodyText3Char"/>
    <w:unhideWhenUsed/>
    <w:rsid w:val="00AE3A1E"/>
    <w:pPr>
      <w:pBdr>
        <w:top w:val="none" w:sz="0" w:space="0" w:color="auto"/>
        <w:left w:val="none" w:sz="0" w:space="0" w:color="auto"/>
        <w:bottom w:val="none" w:sz="0" w:space="0" w:color="auto"/>
        <w:right w:val="none" w:sz="0" w:space="0" w:color="auto"/>
        <w:between w:val="none" w:sz="0" w:space="0" w:color="auto"/>
      </w:pBdr>
      <w:bidi/>
      <w:spacing w:after="120" w:line="240" w:lineRule="auto"/>
    </w:pPr>
    <w:rPr>
      <w:rFonts w:ascii="Times New Roman" w:eastAsia="Times New Roman" w:hAnsi="Times New Roman" w:cs="Times New Roman"/>
      <w:color w:val="auto"/>
      <w:sz w:val="16"/>
      <w:szCs w:val="16"/>
      <w:lang w:eastAsia="ar-SA"/>
    </w:rPr>
  </w:style>
  <w:style w:type="character" w:customStyle="1" w:styleId="BodyText3Char">
    <w:name w:val="Body Text 3 Char"/>
    <w:basedOn w:val="DefaultParagraphFont"/>
    <w:link w:val="BodyText3"/>
    <w:rsid w:val="00AE3A1E"/>
    <w:rPr>
      <w:rFonts w:ascii="Times New Roman" w:eastAsia="Times New Roman" w:hAnsi="Times New Roman" w:cs="Times New Roman"/>
      <w:sz w:val="16"/>
      <w:szCs w:val="16"/>
      <w:lang w:eastAsia="ar-SA"/>
    </w:rPr>
  </w:style>
  <w:style w:type="paragraph" w:styleId="BodyText2">
    <w:name w:val="Body Text 2"/>
    <w:basedOn w:val="Normal"/>
    <w:link w:val="BodyText2Char"/>
    <w:unhideWhenUsed/>
    <w:rsid w:val="00E13FE4"/>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rsid w:val="00E13FE4"/>
    <w:rPr>
      <w:rFonts w:ascii="Times New Roman" w:eastAsia="Times New Roman" w:hAnsi="Times New Roman" w:cs="Times New Roman"/>
      <w:lang w:eastAsia="ar-SA"/>
    </w:rPr>
  </w:style>
  <w:style w:type="character" w:styleId="Hyperlink">
    <w:name w:val="Hyperlink"/>
    <w:uiPriority w:val="99"/>
    <w:unhideWhenUsed/>
    <w:rsid w:val="00E13FE4"/>
    <w:rPr>
      <w:color w:val="0000FF"/>
      <w:u w:val="single"/>
    </w:rPr>
  </w:style>
  <w:style w:type="paragraph" w:styleId="BalloonText">
    <w:name w:val="Balloon Text"/>
    <w:basedOn w:val="Normal"/>
    <w:link w:val="BalloonTextChar"/>
    <w:uiPriority w:val="99"/>
    <w:semiHidden/>
    <w:unhideWhenUsed/>
    <w:rsid w:val="00E13F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FE4"/>
    <w:rPr>
      <w:rFonts w:ascii="Tahoma" w:eastAsia="Arial" w:hAnsi="Tahoma" w:cs="Tahoma"/>
      <w:color w:val="000000"/>
      <w:sz w:val="16"/>
      <w:szCs w:val="16"/>
      <w:lang w:eastAsia="it-IT"/>
    </w:rPr>
  </w:style>
  <w:style w:type="table" w:styleId="TableGrid">
    <w:name w:val="Table Grid"/>
    <w:basedOn w:val="TableNormal"/>
    <w:uiPriority w:val="39"/>
    <w:rsid w:val="00FF5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54F7"/>
    <w:pPr>
      <w:spacing w:line="240" w:lineRule="auto"/>
    </w:pPr>
    <w:rPr>
      <w:sz w:val="20"/>
      <w:szCs w:val="20"/>
    </w:rPr>
  </w:style>
  <w:style w:type="character" w:customStyle="1" w:styleId="FootnoteTextChar">
    <w:name w:val="Footnote Text Char"/>
    <w:basedOn w:val="DefaultParagraphFont"/>
    <w:link w:val="FootnoteText"/>
    <w:uiPriority w:val="99"/>
    <w:semiHidden/>
    <w:rsid w:val="00AC54F7"/>
    <w:rPr>
      <w:rFonts w:ascii="Arial" w:eastAsia="Arial" w:hAnsi="Arial" w:cs="Arial"/>
      <w:color w:val="000000"/>
      <w:sz w:val="20"/>
      <w:szCs w:val="20"/>
      <w:lang w:eastAsia="it-IT"/>
    </w:rPr>
  </w:style>
  <w:style w:type="character" w:styleId="FootnoteReference">
    <w:name w:val="footnote reference"/>
    <w:basedOn w:val="DefaultParagraphFont"/>
    <w:uiPriority w:val="99"/>
    <w:semiHidden/>
    <w:unhideWhenUsed/>
    <w:rsid w:val="00AC54F7"/>
    <w:rPr>
      <w:vertAlign w:val="superscript"/>
    </w:rPr>
  </w:style>
  <w:style w:type="paragraph" w:styleId="ListParagraph">
    <w:name w:val="List Paragraph"/>
    <w:basedOn w:val="Normal"/>
    <w:uiPriority w:val="34"/>
    <w:qFormat/>
    <w:rsid w:val="00254168"/>
    <w:pPr>
      <w:ind w:left="720"/>
      <w:contextualSpacing/>
    </w:pPr>
  </w:style>
  <w:style w:type="character" w:customStyle="1" w:styleId="Heading1Char">
    <w:name w:val="Heading 1 Char"/>
    <w:basedOn w:val="DefaultParagraphFont"/>
    <w:link w:val="Heading1"/>
    <w:uiPriority w:val="9"/>
    <w:rsid w:val="00615A07"/>
    <w:rPr>
      <w:rFonts w:ascii="Times New Roman" w:eastAsia="Times New Roman" w:hAnsi="Times New Roman" w:cs="Times New Roman"/>
      <w:b/>
      <w:bCs/>
      <w:kern w:val="36"/>
    </w:rPr>
  </w:style>
</w:styles>
</file>

<file path=word/webSettings.xml><?xml version="1.0" encoding="utf-8"?>
<w:webSettings xmlns:r="http://schemas.openxmlformats.org/officeDocument/2006/relationships" xmlns:w="http://schemas.openxmlformats.org/wordprocessingml/2006/main">
  <w:divs>
    <w:div w:id="140780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8269660736852339"/>
          <c:y val="5.5000000000000077E-2"/>
          <c:w val="0.75480367984305063"/>
          <c:h val="0.82500000000000062"/>
        </c:manualLayout>
      </c:layout>
      <c:lineChart>
        <c:grouping val="standard"/>
        <c:ser>
          <c:idx val="0"/>
          <c:order val="0"/>
          <c:tx>
            <c:strRef>
              <c:f>Sheet1!$A$2</c:f>
              <c:strCache>
                <c:ptCount val="1"/>
                <c:pt idx="0">
                  <c:v>Price Index</c:v>
                </c:pt>
              </c:strCache>
            </c:strRef>
          </c:tx>
          <c:spPr>
            <a:ln w="12699">
              <a:solidFill>
                <a:srgbClr val="000080"/>
              </a:solidFill>
              <a:prstDash val="solid"/>
            </a:ln>
          </c:spPr>
          <c:marker>
            <c:symbol val="circle"/>
            <c:size val="4"/>
            <c:spPr>
              <a:solidFill>
                <a:srgbClr val="000080"/>
              </a:solidFill>
              <a:ln>
                <a:solidFill>
                  <a:srgbClr val="000080"/>
                </a:solidFill>
                <a:prstDash val="solid"/>
              </a:ln>
            </c:spPr>
          </c:marker>
          <c:dLbls>
            <c:dLbl>
              <c:idx val="0"/>
              <c:layout>
                <c:manualLayout>
                  <c:x val="-4.0404040404040414E-2"/>
                  <c:y val="-9.5238095238095358E-2"/>
                </c:manualLayout>
              </c:layout>
              <c:showVal val="1"/>
            </c:dLbl>
            <c:dLbl>
              <c:idx val="8"/>
              <c:layout>
                <c:manualLayout>
                  <c:x val="0"/>
                  <c:y val="-0.13333333333333341"/>
                </c:manualLayout>
              </c:layout>
              <c:showVal val="1"/>
            </c:dLbl>
            <c:delete val="1"/>
          </c:dLbls>
          <c:cat>
            <c:strRef>
              <c:f>Sheet1!$B$1:$J$1</c:f>
              <c:strCache>
                <c:ptCount val="9"/>
                <c:pt idx="0">
                  <c:v>Q3.2015</c:v>
                </c:pt>
                <c:pt idx="1">
                  <c:v>Q4.2015</c:v>
                </c:pt>
                <c:pt idx="2">
                  <c:v>Q1.2016</c:v>
                </c:pt>
                <c:pt idx="3">
                  <c:v>Q2.2016</c:v>
                </c:pt>
                <c:pt idx="4">
                  <c:v>Q3.2016</c:v>
                </c:pt>
                <c:pt idx="5">
                  <c:v>Q4.2016</c:v>
                </c:pt>
                <c:pt idx="6">
                  <c:v>Q1.2017</c:v>
                </c:pt>
                <c:pt idx="7">
                  <c:v>Q2.2017</c:v>
                </c:pt>
                <c:pt idx="8">
                  <c:v>Q3.2017</c:v>
                </c:pt>
              </c:strCache>
            </c:strRef>
          </c:cat>
          <c:val>
            <c:numRef>
              <c:f>Sheet1!$B$2:$J$2</c:f>
              <c:numCache>
                <c:formatCode>0.00</c:formatCode>
                <c:ptCount val="9"/>
                <c:pt idx="0">
                  <c:v>125.44000000000007</c:v>
                </c:pt>
                <c:pt idx="1">
                  <c:v>124.98</c:v>
                </c:pt>
                <c:pt idx="2">
                  <c:v>123.84</c:v>
                </c:pt>
                <c:pt idx="3">
                  <c:v>125.09</c:v>
                </c:pt>
                <c:pt idx="4">
                  <c:v>128.26</c:v>
                </c:pt>
                <c:pt idx="5">
                  <c:v>125.33</c:v>
                </c:pt>
                <c:pt idx="6">
                  <c:v>125.82</c:v>
                </c:pt>
                <c:pt idx="7">
                  <c:v>122</c:v>
                </c:pt>
                <c:pt idx="8">
                  <c:v>124.50937714724041</c:v>
                </c:pt>
              </c:numCache>
            </c:numRef>
          </c:val>
        </c:ser>
        <c:marker val="1"/>
        <c:axId val="86721664"/>
        <c:axId val="86723200"/>
      </c:lineChart>
      <c:catAx>
        <c:axId val="86721664"/>
        <c:scaling>
          <c:orientation val="minMax"/>
        </c:scaling>
        <c:axPos val="b"/>
        <c:numFmt formatCode="General" sourceLinked="1"/>
        <c:minorTickMark val="out"/>
        <c:tickLblPos val="nextTo"/>
        <c:spPr>
          <a:ln w="3175">
            <a:solidFill>
              <a:srgbClr val="000000"/>
            </a:solidFill>
            <a:prstDash val="solid"/>
          </a:ln>
        </c:spPr>
        <c:txPr>
          <a:bodyPr rot="0" vert="horz"/>
          <a:lstStyle/>
          <a:p>
            <a:pPr>
              <a:defRPr/>
            </a:pPr>
            <a:endParaRPr lang="ar-SA"/>
          </a:p>
        </c:txPr>
        <c:crossAx val="86723200"/>
        <c:crosses val="autoZero"/>
        <c:auto val="1"/>
        <c:lblAlgn val="ctr"/>
        <c:lblOffset val="100"/>
        <c:tickLblSkip val="2"/>
        <c:tickMarkSkip val="2"/>
      </c:catAx>
      <c:valAx>
        <c:axId val="86723200"/>
        <c:scaling>
          <c:orientation val="minMax"/>
          <c:max val="130"/>
          <c:min val="120"/>
        </c:scaling>
        <c:axPos val="l"/>
        <c:title>
          <c:tx>
            <c:rich>
              <a:bodyPr/>
              <a:lstStyle/>
              <a:p>
                <a:pPr>
                  <a:defRPr/>
                </a:pPr>
                <a:r>
                  <a:rPr lang="en-US"/>
                  <a:t>Wholesale Price Index (WPI)</a:t>
                </a:r>
              </a:p>
            </c:rich>
          </c:tx>
          <c:layout>
            <c:manualLayout>
              <c:xMode val="edge"/>
              <c:yMode val="edge"/>
              <c:x val="8.9786756453423266E-3"/>
              <c:y val="9.0714160729908871E-2"/>
            </c:manualLayout>
          </c:layout>
          <c:spPr>
            <a:noFill/>
            <a:ln w="25399">
              <a:noFill/>
            </a:ln>
          </c:spPr>
        </c:title>
        <c:numFmt formatCode="0" sourceLinked="0"/>
        <c:tickLblPos val="nextTo"/>
        <c:spPr>
          <a:ln w="3175">
            <a:solidFill>
              <a:srgbClr val="000000"/>
            </a:solidFill>
            <a:prstDash val="solid"/>
          </a:ln>
        </c:spPr>
        <c:txPr>
          <a:bodyPr rot="0" vert="horz"/>
          <a:lstStyle/>
          <a:p>
            <a:pPr>
              <a:defRPr/>
            </a:pPr>
            <a:endParaRPr lang="ar-SA"/>
          </a:p>
        </c:txPr>
        <c:crossAx val="86721664"/>
        <c:crosses val="autoZero"/>
        <c:crossBetween val="between"/>
        <c:majorUnit val="2"/>
      </c:valAx>
      <c:spPr>
        <a:noFill/>
        <a:ln w="25399">
          <a:noFill/>
        </a:ln>
      </c:spPr>
    </c:plotArea>
    <c:plotVisOnly val="1"/>
    <c:dispBlanksAs val="gap"/>
  </c:chart>
  <c:spPr>
    <a:noFill/>
    <a:ln w="12700" cap="flat" cmpd="sng" algn="ctr">
      <a:noFill/>
      <a:prstDash val="solid"/>
      <a:miter lim="800000"/>
      <a:headEnd type="none" w="med" len="med"/>
      <a:tailEnd type="none" w="med" len="med"/>
    </a:ln>
  </c:spPr>
  <c:txPr>
    <a:bodyPr/>
    <a:lstStyle/>
    <a:p>
      <a:pPr>
        <a:defRPr sz="900" b="0" i="0" u="none" strike="noStrike" baseline="0">
          <a:solidFill>
            <a:srgbClr val="000000"/>
          </a:solidFill>
          <a:latin typeface="Arial" pitchFamily="34" charset="0"/>
          <a:ea typeface="Calibri"/>
          <a:cs typeface="Arial" pitchFamily="34" charset="0"/>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FD5F-0E2E-435F-A5CF-C5250545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3</cp:revision>
  <cp:lastPrinted>2017-10-16T09:45:00Z</cp:lastPrinted>
  <dcterms:created xsi:type="dcterms:W3CDTF">2017-10-18T06:40:00Z</dcterms:created>
  <dcterms:modified xsi:type="dcterms:W3CDTF">2017-10-18T06:45:00Z</dcterms:modified>
</cp:coreProperties>
</file>