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E2" w:rsidRDefault="00B83F4B">
      <w:pPr>
        <w:bidi w:val="0"/>
        <w:jc w:val="center"/>
        <w:rPr>
          <w:rFonts w:cs="Traditional Arabic"/>
          <w:sz w:val="24"/>
          <w:szCs w:val="22"/>
        </w:rPr>
      </w:pPr>
      <w:r>
        <w:rPr>
          <w:noProof/>
          <w:snapToGrid/>
          <w:rtl/>
        </w:rPr>
        <w:drawing>
          <wp:inline distT="0" distB="0" distL="0" distR="0">
            <wp:extent cx="752475" cy="10001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52475" cy="1000125"/>
                    </a:xfrm>
                    <a:prstGeom prst="rect">
                      <a:avLst/>
                    </a:prstGeom>
                    <a:noFill/>
                    <a:ln w="9525">
                      <a:noFill/>
                      <a:miter lim="800000"/>
                      <a:headEnd/>
                      <a:tailEnd/>
                    </a:ln>
                  </pic:spPr>
                </pic:pic>
              </a:graphicData>
            </a:graphic>
          </wp:inline>
        </w:drawing>
      </w:r>
    </w:p>
    <w:p w:rsidR="002957E2" w:rsidRDefault="002957E2">
      <w:pPr>
        <w:bidi w:val="0"/>
        <w:jc w:val="center"/>
        <w:rPr>
          <w:rFonts w:cs="Traditional Arabic"/>
          <w:b/>
          <w:bCs/>
          <w:sz w:val="16"/>
          <w:szCs w:val="16"/>
        </w:rPr>
      </w:pPr>
    </w:p>
    <w:p w:rsidR="002957E2" w:rsidRDefault="002957E2">
      <w:pPr>
        <w:pStyle w:val="Caption"/>
        <w:rPr>
          <w:sz w:val="48"/>
          <w:szCs w:val="48"/>
          <w:rtl/>
          <w:lang w:val="en-AU"/>
        </w:rPr>
      </w:pPr>
      <w:r>
        <w:rPr>
          <w:sz w:val="48"/>
          <w:szCs w:val="48"/>
        </w:rPr>
        <w:t>Palestinian National Authority</w:t>
      </w:r>
    </w:p>
    <w:p w:rsidR="002957E2" w:rsidRDefault="002957E2">
      <w:pPr>
        <w:pStyle w:val="Heading3"/>
        <w:spacing w:after="150"/>
        <w:ind w:left="-427" w:right="-427"/>
        <w:rPr>
          <w:rFonts w:cs="Traditional Arabic"/>
          <w:szCs w:val="52"/>
        </w:rPr>
      </w:pPr>
      <w:r>
        <w:rPr>
          <w:rFonts w:cs="Traditional Arabic"/>
          <w:szCs w:val="52"/>
        </w:rPr>
        <w:t>Palestinian Central Bureau of Statistics</w:t>
      </w:r>
    </w:p>
    <w:p w:rsidR="002957E2" w:rsidRDefault="002957E2">
      <w:pPr>
        <w:rPr>
          <w:sz w:val="28"/>
          <w:szCs w:val="28"/>
        </w:rPr>
      </w:pPr>
    </w:p>
    <w:p w:rsidR="002957E2" w:rsidRDefault="002957E2">
      <w:pPr>
        <w:rPr>
          <w:sz w:val="28"/>
          <w:szCs w:val="28"/>
          <w:rtl/>
          <w:lang w:val="en-AU"/>
        </w:rPr>
      </w:pPr>
    </w:p>
    <w:p w:rsidR="002957E2" w:rsidRDefault="002957E2">
      <w:pPr>
        <w:rPr>
          <w:sz w:val="28"/>
          <w:szCs w:val="28"/>
          <w:rtl/>
          <w:lang w:val="en-AU"/>
        </w:rPr>
      </w:pPr>
    </w:p>
    <w:p w:rsidR="002957E2" w:rsidRDefault="002957E2">
      <w:pPr>
        <w:rPr>
          <w:sz w:val="28"/>
          <w:szCs w:val="28"/>
          <w:rtl/>
          <w:lang w:val="en-AU"/>
        </w:rPr>
      </w:pPr>
    </w:p>
    <w:p w:rsidR="002957E2" w:rsidRDefault="002957E2">
      <w:pPr>
        <w:rPr>
          <w:sz w:val="28"/>
          <w:szCs w:val="28"/>
          <w:rtl/>
          <w:lang w:val="en-AU"/>
        </w:rPr>
      </w:pPr>
    </w:p>
    <w:p w:rsidR="002957E2" w:rsidRDefault="002957E2">
      <w:pPr>
        <w:rPr>
          <w:sz w:val="28"/>
          <w:szCs w:val="28"/>
          <w:rtl/>
          <w:lang w:val="en-AU"/>
        </w:rPr>
      </w:pPr>
    </w:p>
    <w:p w:rsidR="002957E2" w:rsidRDefault="002957E2">
      <w:pPr>
        <w:rPr>
          <w:sz w:val="28"/>
          <w:szCs w:val="28"/>
          <w:rtl/>
          <w:lang w:val="en-AU"/>
        </w:rPr>
      </w:pPr>
    </w:p>
    <w:p w:rsidR="002957E2" w:rsidRDefault="002957E2">
      <w:pPr>
        <w:rPr>
          <w:sz w:val="28"/>
          <w:szCs w:val="28"/>
          <w:rtl/>
          <w:lang w:val="en-AU"/>
        </w:rPr>
      </w:pPr>
    </w:p>
    <w:p w:rsidR="00FB63E2" w:rsidRDefault="00DD4A62" w:rsidP="00FB63E2">
      <w:pPr>
        <w:bidi w:val="0"/>
        <w:jc w:val="center"/>
        <w:rPr>
          <w:b/>
          <w:bCs/>
          <w:sz w:val="40"/>
          <w:szCs w:val="40"/>
        </w:rPr>
      </w:pPr>
      <w:r w:rsidRPr="00FB63E2">
        <w:rPr>
          <w:b/>
          <w:bCs/>
          <w:sz w:val="40"/>
          <w:szCs w:val="40"/>
        </w:rPr>
        <w:t>A Special Bulletin on the Palestinian Population</w:t>
      </w:r>
    </w:p>
    <w:p w:rsidR="008A312D" w:rsidRPr="00FB63E2" w:rsidRDefault="00DD4A62" w:rsidP="00FB63E2">
      <w:pPr>
        <w:bidi w:val="0"/>
        <w:jc w:val="center"/>
        <w:rPr>
          <w:b/>
          <w:bCs/>
          <w:sz w:val="40"/>
          <w:szCs w:val="40"/>
        </w:rPr>
      </w:pPr>
      <w:r w:rsidRPr="00FB63E2">
        <w:rPr>
          <w:b/>
          <w:bCs/>
          <w:sz w:val="40"/>
          <w:szCs w:val="40"/>
        </w:rPr>
        <w:t xml:space="preserve"> as the World Population Reaches  VII Billion</w:t>
      </w:r>
    </w:p>
    <w:p w:rsidR="002957E2" w:rsidRDefault="002957E2">
      <w:pPr>
        <w:bidi w:val="0"/>
        <w:ind w:right="-143"/>
        <w:jc w:val="center"/>
        <w:rPr>
          <w:b/>
          <w:bCs/>
          <w:sz w:val="40"/>
          <w:szCs w:val="40"/>
        </w:rPr>
      </w:pPr>
    </w:p>
    <w:p w:rsidR="002957E2" w:rsidRDefault="002957E2">
      <w:pPr>
        <w:bidi w:val="0"/>
        <w:ind w:right="-143"/>
        <w:jc w:val="center"/>
        <w:rPr>
          <w:b/>
          <w:bCs/>
          <w:sz w:val="40"/>
          <w:szCs w:val="40"/>
          <w:rtl/>
          <w:lang w:val="en-AU"/>
        </w:rPr>
      </w:pPr>
    </w:p>
    <w:p w:rsidR="002957E2" w:rsidRDefault="002957E2">
      <w:pPr>
        <w:bidi w:val="0"/>
        <w:ind w:right="-143"/>
        <w:jc w:val="center"/>
        <w:rPr>
          <w:b/>
          <w:bCs/>
          <w:sz w:val="40"/>
          <w:szCs w:val="40"/>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2957E2">
      <w:pPr>
        <w:bidi w:val="0"/>
        <w:jc w:val="center"/>
        <w:rPr>
          <w:rFonts w:cs="Traditional Arabic"/>
          <w:b/>
          <w:bCs/>
          <w:sz w:val="24"/>
        </w:rPr>
      </w:pPr>
    </w:p>
    <w:p w:rsidR="002957E2" w:rsidRDefault="009A0E6A">
      <w:pPr>
        <w:bidi w:val="0"/>
        <w:jc w:val="center"/>
        <w:rPr>
          <w:rFonts w:cs="Traditional Arabic"/>
          <w:sz w:val="24"/>
          <w:szCs w:val="24"/>
        </w:rPr>
      </w:pPr>
      <w:r>
        <w:rPr>
          <w:b/>
          <w:bCs/>
          <w:sz w:val="28"/>
          <w:szCs w:val="28"/>
        </w:rPr>
        <w:t>October</w:t>
      </w:r>
      <w:r w:rsidR="002957E2">
        <w:rPr>
          <w:b/>
          <w:bCs/>
          <w:sz w:val="28"/>
          <w:szCs w:val="28"/>
        </w:rPr>
        <w:t xml:space="preserve">, </w:t>
      </w:r>
      <w:r w:rsidR="002957E2">
        <w:rPr>
          <w:rFonts w:hint="cs"/>
          <w:b/>
          <w:bCs/>
          <w:sz w:val="28"/>
          <w:szCs w:val="28"/>
          <w:rtl/>
          <w:lang w:val="en-AU"/>
        </w:rPr>
        <w:t>2011</w:t>
      </w:r>
    </w:p>
    <w:p w:rsidR="002957E2" w:rsidRDefault="002957E2" w:rsidP="00894A5B">
      <w:pPr>
        <w:bidi w:val="0"/>
        <w:jc w:val="lowKashida"/>
        <w:rPr>
          <w:rFonts w:cs="Traditional Arabic"/>
          <w:sz w:val="24"/>
        </w:rPr>
      </w:pPr>
      <w:r>
        <w:rPr>
          <w:rFonts w:cs="Traditional Arabic"/>
          <w:sz w:val="24"/>
        </w:rPr>
        <w:br w:type="page"/>
      </w: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894A5B" w:rsidRDefault="00894A5B" w:rsidP="00894A5B">
      <w:pPr>
        <w:bidi w:val="0"/>
        <w:jc w:val="lowKashida"/>
        <w:rPr>
          <w:rFonts w:cs="Traditional Arabic"/>
          <w:sz w:val="24"/>
        </w:rPr>
      </w:pPr>
    </w:p>
    <w:p w:rsidR="00894A5B" w:rsidRDefault="00894A5B" w:rsidP="00894A5B">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523B0D">
      <w:pPr>
        <w:bidi w:val="0"/>
        <w:jc w:val="lowKashida"/>
        <w:rPr>
          <w:rFonts w:cs="Traditional Arabic"/>
          <w:sz w:val="24"/>
        </w:rPr>
      </w:pPr>
      <w:r w:rsidRPr="00523B0D">
        <w:rPr>
          <w:rFonts w:cs="Traditional Arabic"/>
          <w:noProof/>
          <w:snapToGrid/>
          <w:lang w:val="ar-SA" w:eastAsia="ar-SA"/>
        </w:rPr>
        <w:pict>
          <v:shapetype id="_x0000_t202" coordsize="21600,21600" o:spt="202" path="m,l,21600r21600,l21600,xe">
            <v:stroke joinstyle="miter"/>
            <v:path gradientshapeok="t" o:connecttype="rect"/>
          </v:shapetype>
          <v:shape id="_x0000_s1028" type="#_x0000_t202" style="position:absolute;left:0;text-align:left;margin-left:20pt;margin-top:5.05pt;width:408.8pt;height:63pt;z-index:251657728" strokeweight="6pt">
            <v:stroke linestyle="thickBetweenThin"/>
            <v:textbox style="mso-next-textbox:#_x0000_s1028">
              <w:txbxContent>
                <w:p w:rsidR="00D63C31" w:rsidRDefault="00D63C31">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jc w:val="lowKashida"/>
        <w:rPr>
          <w:rFonts w:cs="Traditional Arabic"/>
          <w:sz w:val="24"/>
        </w:rPr>
      </w:pPr>
    </w:p>
    <w:p w:rsidR="002957E2" w:rsidRDefault="002957E2">
      <w:pPr>
        <w:bidi w:val="0"/>
        <w:snapToGrid w:val="0"/>
        <w:jc w:val="lowKashida"/>
        <w:rPr>
          <w:rFonts w:cs="Traditional Arabic"/>
          <w:sz w:val="24"/>
        </w:rPr>
      </w:pPr>
    </w:p>
    <w:p w:rsidR="002957E2" w:rsidRDefault="002957E2">
      <w:pPr>
        <w:bidi w:val="0"/>
        <w:snapToGrid w:val="0"/>
        <w:jc w:val="lowKashida"/>
        <w:rPr>
          <w:rFonts w:cs="Traditional Arabic"/>
          <w:sz w:val="24"/>
        </w:rPr>
      </w:pPr>
    </w:p>
    <w:p w:rsidR="002957E2" w:rsidRDefault="002957E2">
      <w:pPr>
        <w:bidi w:val="0"/>
        <w:snapToGrid w:val="0"/>
        <w:jc w:val="lowKashida"/>
        <w:rPr>
          <w:rFonts w:cs="Traditional Arabic"/>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pPr>
        <w:bidi w:val="0"/>
        <w:snapToGrid w:val="0"/>
        <w:jc w:val="lowKashida"/>
        <w:rPr>
          <w:rFonts w:hAnsi="Symbol" w:cs="Symbol"/>
        </w:rPr>
      </w:pPr>
    </w:p>
    <w:p w:rsidR="002957E2" w:rsidRDefault="002957E2" w:rsidP="009A0E6A">
      <w:pPr>
        <w:bidi w:val="0"/>
        <w:snapToGrid w:val="0"/>
        <w:jc w:val="lowKashida"/>
        <w:rPr>
          <w:rFonts w:cs="Traditional Arabic"/>
          <w:snapToGrid/>
        </w:rPr>
      </w:pPr>
      <w:r>
        <w:rPr>
          <w:rFonts w:hAnsi="Symbol" w:cs="Symbol"/>
        </w:rPr>
        <w:sym w:font="Symbol" w:char="00D3"/>
      </w:r>
      <w:r w:rsidR="009A0E6A">
        <w:rPr>
          <w:rFonts w:cs="Traditional Arabic"/>
        </w:rPr>
        <w:t>October</w:t>
      </w:r>
      <w:r>
        <w:rPr>
          <w:rFonts w:cs="Traditional Arabic"/>
        </w:rPr>
        <w:t xml:space="preserve">, </w:t>
      </w:r>
      <w:r>
        <w:rPr>
          <w:rFonts w:cs="Traditional Arabic"/>
          <w:lang w:val="en-AU"/>
        </w:rPr>
        <w:t>2011</w:t>
      </w:r>
      <w:r>
        <w:rPr>
          <w:rFonts w:cs="Traditional Arabic"/>
        </w:rPr>
        <w:t>.</w:t>
      </w:r>
    </w:p>
    <w:p w:rsidR="002957E2" w:rsidRDefault="002957E2">
      <w:pPr>
        <w:bidi w:val="0"/>
        <w:snapToGrid w:val="0"/>
        <w:jc w:val="lowKashida"/>
        <w:rPr>
          <w:rFonts w:cs="Traditional Arabic"/>
          <w:b/>
          <w:bCs/>
        </w:rPr>
      </w:pPr>
      <w:r>
        <w:rPr>
          <w:rFonts w:cs="Traditional Arabic"/>
          <w:b/>
          <w:bCs/>
        </w:rPr>
        <w:t>All rights reserved</w:t>
      </w:r>
    </w:p>
    <w:p w:rsidR="002957E2" w:rsidRDefault="002957E2">
      <w:pPr>
        <w:bidi w:val="0"/>
        <w:snapToGrid w:val="0"/>
        <w:jc w:val="lowKashida"/>
        <w:rPr>
          <w:rFonts w:cs="Traditional Arabic"/>
          <w:b/>
          <w:bCs/>
        </w:rPr>
      </w:pPr>
    </w:p>
    <w:p w:rsidR="002957E2" w:rsidRDefault="002957E2">
      <w:pPr>
        <w:bidi w:val="0"/>
        <w:snapToGrid w:val="0"/>
        <w:jc w:val="lowKashida"/>
        <w:rPr>
          <w:rFonts w:cs="Traditional Arabic"/>
          <w:b/>
          <w:bCs/>
        </w:rPr>
      </w:pPr>
      <w:r>
        <w:rPr>
          <w:rFonts w:cs="Traditional Arabic"/>
          <w:b/>
          <w:bCs/>
        </w:rPr>
        <w:t>Suggested Citation:</w:t>
      </w:r>
    </w:p>
    <w:p w:rsidR="002957E2" w:rsidRDefault="002957E2">
      <w:pPr>
        <w:bidi w:val="0"/>
        <w:snapToGrid w:val="0"/>
        <w:jc w:val="lowKashida"/>
        <w:rPr>
          <w:rFonts w:cs="Traditional Arabic"/>
          <w:b/>
          <w:bCs/>
        </w:rPr>
      </w:pPr>
    </w:p>
    <w:p w:rsidR="002957E2" w:rsidRPr="00335B81" w:rsidRDefault="002957E2" w:rsidP="00335B81">
      <w:pPr>
        <w:bidi w:val="0"/>
        <w:ind w:right="-143"/>
        <w:rPr>
          <w:rFonts w:cs="Traditional Arabic"/>
          <w:i/>
          <w:iCs/>
          <w:sz w:val="24"/>
          <w:szCs w:val="24"/>
        </w:rPr>
      </w:pPr>
      <w:r>
        <w:rPr>
          <w:rFonts w:cs="Traditional Arabic"/>
          <w:b/>
          <w:bCs/>
          <w:sz w:val="24"/>
          <w:szCs w:val="24"/>
        </w:rPr>
        <w:t xml:space="preserve">Palestinian Central Bureau of Statistics, </w:t>
      </w:r>
      <w:r>
        <w:rPr>
          <w:rFonts w:cs="Traditional Arabic"/>
          <w:b/>
          <w:bCs/>
          <w:sz w:val="24"/>
          <w:szCs w:val="24"/>
          <w:lang w:val="en-AU"/>
        </w:rPr>
        <w:t>2011</w:t>
      </w:r>
      <w:r>
        <w:rPr>
          <w:rFonts w:cs="Traditional Arabic"/>
          <w:b/>
          <w:bCs/>
          <w:sz w:val="24"/>
          <w:szCs w:val="24"/>
        </w:rPr>
        <w:t xml:space="preserve">.  </w:t>
      </w:r>
      <w:r w:rsidR="00335B81" w:rsidRPr="00335B81">
        <w:rPr>
          <w:rFonts w:cs="Traditional Arabic"/>
          <w:i/>
          <w:iCs/>
          <w:sz w:val="24"/>
          <w:szCs w:val="24"/>
        </w:rPr>
        <w:t>A Special Bulletin on the Palestinian Population as the World Population Reaches</w:t>
      </w:r>
      <w:r w:rsidR="00335B81">
        <w:rPr>
          <w:rFonts w:cs="Traditional Arabic"/>
          <w:i/>
          <w:iCs/>
          <w:sz w:val="24"/>
          <w:szCs w:val="24"/>
        </w:rPr>
        <w:t xml:space="preserve"> </w:t>
      </w:r>
      <w:r w:rsidR="00335B81" w:rsidRPr="00335B81">
        <w:rPr>
          <w:rFonts w:cs="Traditional Arabic"/>
          <w:i/>
          <w:iCs/>
          <w:sz w:val="24"/>
          <w:szCs w:val="24"/>
        </w:rPr>
        <w:t>VII Billion</w:t>
      </w:r>
      <w:r w:rsidR="00D35017">
        <w:rPr>
          <w:rFonts w:cs="Traditional Arabic"/>
          <w:i/>
          <w:iCs/>
          <w:sz w:val="24"/>
          <w:szCs w:val="24"/>
        </w:rPr>
        <w:t>.</w:t>
      </w:r>
      <w:r w:rsidR="00335B81">
        <w:rPr>
          <w:rFonts w:cs="Traditional Arabic"/>
          <w:i/>
          <w:iCs/>
          <w:sz w:val="24"/>
          <w:szCs w:val="24"/>
        </w:rPr>
        <w:t xml:space="preserve"> </w:t>
      </w:r>
      <w:r>
        <w:rPr>
          <w:rFonts w:cs="Traditional Arabic"/>
          <w:sz w:val="24"/>
          <w:szCs w:val="24"/>
        </w:rPr>
        <w:t>Ramallah - Palestine.</w:t>
      </w:r>
    </w:p>
    <w:p w:rsidR="002957E2" w:rsidRDefault="002957E2">
      <w:pPr>
        <w:bidi w:val="0"/>
      </w:pPr>
    </w:p>
    <w:p w:rsidR="002957E2" w:rsidRDefault="002957E2">
      <w:pPr>
        <w:bidi w:val="0"/>
      </w:pPr>
      <w:r>
        <w:t>All correspondence should</w:t>
      </w:r>
      <w:r>
        <w:rPr>
          <w:rtl/>
        </w:rPr>
        <w:t xml:space="preserve"> </w:t>
      </w:r>
      <w:r>
        <w:t>be directed to</w:t>
      </w:r>
      <w:r>
        <w:rPr>
          <w:rtl/>
        </w:rPr>
        <w:t>:</w:t>
      </w:r>
    </w:p>
    <w:p w:rsidR="002957E2" w:rsidRDefault="002957E2">
      <w:pPr>
        <w:bidi w:val="0"/>
        <w:rPr>
          <w:b/>
          <w:bCs/>
        </w:rPr>
      </w:pPr>
      <w:r>
        <w:rPr>
          <w:b/>
          <w:bCs/>
        </w:rPr>
        <w:t>Palestinian Central Bureau of Statistics</w:t>
      </w:r>
    </w:p>
    <w:p w:rsidR="002957E2" w:rsidRDefault="002957E2">
      <w:pPr>
        <w:bidi w:val="0"/>
      </w:pPr>
      <w:proofErr w:type="spellStart"/>
      <w:r>
        <w:rPr>
          <w:b/>
          <w:bCs/>
        </w:rPr>
        <w:t>P.O.Box</w:t>
      </w:r>
      <w:proofErr w:type="spellEnd"/>
      <w:r>
        <w:rPr>
          <w:b/>
          <w:bCs/>
        </w:rPr>
        <w:t xml:space="preserve"> 1647,</w:t>
      </w:r>
      <w:r>
        <w:rPr>
          <w:rFonts w:ascii="Arial" w:hAnsi="Arial" w:cs="Arial"/>
        </w:rPr>
        <w:t xml:space="preserve"> </w:t>
      </w:r>
      <w:r>
        <w:t xml:space="preserve">Ramallah City- Tokyo St. opposite to Ramallah Cultural Palace- Palestine </w:t>
      </w:r>
    </w:p>
    <w:p w:rsidR="002957E2" w:rsidRDefault="002957E2">
      <w:pPr>
        <w:bidi w:val="0"/>
      </w:pPr>
    </w:p>
    <w:p w:rsidR="002957E2" w:rsidRDefault="002957E2">
      <w:pPr>
        <w:bidi w:val="0"/>
        <w:rPr>
          <w:lang w:eastAsia="fr-FR"/>
        </w:rPr>
      </w:pPr>
      <w:r>
        <w:rPr>
          <w:lang w:eastAsia="fr-FR"/>
        </w:rPr>
        <w:t xml:space="preserve">Tel: 00 (972/970) 2-298 2700 </w:t>
      </w:r>
    </w:p>
    <w:p w:rsidR="002957E2" w:rsidRDefault="002957E2">
      <w:pPr>
        <w:bidi w:val="0"/>
        <w:rPr>
          <w:lang w:eastAsia="fr-FR"/>
        </w:rPr>
      </w:pPr>
      <w:r>
        <w:rPr>
          <w:lang w:eastAsia="fr-FR"/>
        </w:rPr>
        <w:t xml:space="preserve">Fax: 00 (972/970) 2-298 2710 </w:t>
      </w:r>
    </w:p>
    <w:p w:rsidR="002957E2" w:rsidRDefault="002957E2">
      <w:pPr>
        <w:bidi w:val="0"/>
        <w:rPr>
          <w:rtl/>
        </w:rPr>
      </w:pPr>
      <w:r>
        <w:t>Toll Free:1800300300</w:t>
      </w:r>
    </w:p>
    <w:p w:rsidR="002957E2" w:rsidRDefault="002957E2">
      <w:pPr>
        <w:bidi w:val="0"/>
      </w:pPr>
      <w:r>
        <w:rPr>
          <w:lang w:eastAsia="fr-FR"/>
        </w:rPr>
        <w:t>E-Mail</w:t>
      </w:r>
      <w:r>
        <w:rPr>
          <w:rtl/>
        </w:rPr>
        <w:t xml:space="preserve">: </w:t>
      </w:r>
      <w:r>
        <w:rPr>
          <w:lang w:eastAsia="fr-FR"/>
        </w:rPr>
        <w:t>diwan@pcbs.gov.ps</w:t>
      </w:r>
    </w:p>
    <w:p w:rsidR="002957E2" w:rsidRDefault="002957E2">
      <w:pPr>
        <w:bidi w:val="0"/>
      </w:pPr>
      <w:r>
        <w:t>Web-Site:  http://www.pcbs.gov.ps</w:t>
      </w:r>
    </w:p>
    <w:p w:rsidR="00DD2099" w:rsidRDefault="002957E2" w:rsidP="00DD2099">
      <w:pPr>
        <w:bidi w:val="0"/>
        <w:jc w:val="center"/>
        <w:rPr>
          <w:sz w:val="24"/>
          <w:szCs w:val="24"/>
        </w:rPr>
      </w:pPr>
      <w:r>
        <w:rPr>
          <w:rFonts w:cs="Traditional Arabic"/>
        </w:rPr>
        <w:br w:type="page"/>
      </w:r>
    </w:p>
    <w:p w:rsidR="00DD2099" w:rsidRDefault="008501AB" w:rsidP="008501AB">
      <w:pPr>
        <w:autoSpaceDE w:val="0"/>
        <w:autoSpaceDN w:val="0"/>
        <w:bidi w:val="0"/>
        <w:adjustRightInd w:val="0"/>
        <w:jc w:val="center"/>
        <w:rPr>
          <w:b/>
          <w:bCs/>
          <w:sz w:val="32"/>
          <w:szCs w:val="32"/>
        </w:rPr>
      </w:pPr>
      <w:r>
        <w:rPr>
          <w:b/>
          <w:bCs/>
          <w:sz w:val="32"/>
          <w:szCs w:val="32"/>
        </w:rPr>
        <w:lastRenderedPageBreak/>
        <w:t>Executive</w:t>
      </w:r>
      <w:r w:rsidR="00DD2099">
        <w:rPr>
          <w:b/>
          <w:bCs/>
          <w:sz w:val="32"/>
          <w:szCs w:val="32"/>
        </w:rPr>
        <w:t xml:space="preserve"> Summary</w:t>
      </w:r>
    </w:p>
    <w:p w:rsidR="00DD2099" w:rsidRPr="00272B2A" w:rsidRDefault="00DD2099" w:rsidP="00DD2099">
      <w:pPr>
        <w:autoSpaceDE w:val="0"/>
        <w:autoSpaceDN w:val="0"/>
        <w:bidi w:val="0"/>
        <w:adjustRightInd w:val="0"/>
        <w:rPr>
          <w:rFonts w:asciiTheme="majorBidi" w:hAnsiTheme="majorBidi" w:cstheme="majorBidi"/>
          <w:b/>
          <w:bCs/>
          <w:sz w:val="24"/>
          <w:szCs w:val="24"/>
        </w:rPr>
      </w:pPr>
    </w:p>
    <w:p w:rsidR="00DD2099" w:rsidRPr="00272B2A" w:rsidRDefault="00DD2099" w:rsidP="00DD2099">
      <w:pPr>
        <w:autoSpaceDE w:val="0"/>
        <w:autoSpaceDN w:val="0"/>
        <w:bidi w:val="0"/>
        <w:adjustRightInd w:val="0"/>
        <w:rPr>
          <w:rFonts w:asciiTheme="majorBidi" w:hAnsiTheme="majorBidi" w:cstheme="majorBidi"/>
          <w:sz w:val="24"/>
          <w:szCs w:val="24"/>
        </w:rPr>
      </w:pPr>
      <w:r w:rsidRPr="00272B2A">
        <w:rPr>
          <w:rFonts w:asciiTheme="majorBidi" w:hAnsiTheme="majorBidi" w:cstheme="majorBidi"/>
          <w:sz w:val="24"/>
          <w:szCs w:val="24"/>
        </w:rPr>
        <w:t>The study aims at providing a statistical review on status of the Palestinian population in the Palestinian territory in the social and economic domains on the eve of the world's population reaching 7 billion. The study provides a review on size of the Palestinian population through history; in addition to estimations of the population size until 2025. The study also refers to the demographic and social situation (educational, cultural, environmental, health); economic situation; living levels, housing and surrounding environment conditions of the Palestinian population in the Palestinian territory. The following are the most important indicators of the study:</w:t>
      </w:r>
    </w:p>
    <w:p w:rsidR="00DD2099" w:rsidRPr="00272B2A" w:rsidRDefault="00DD2099" w:rsidP="00DD2099">
      <w:pPr>
        <w:autoSpaceDE w:val="0"/>
        <w:autoSpaceDN w:val="0"/>
        <w:bidi w:val="0"/>
        <w:adjustRightInd w:val="0"/>
        <w:rPr>
          <w:rFonts w:asciiTheme="majorBidi" w:hAnsiTheme="majorBidi" w:cstheme="majorBidi"/>
          <w:sz w:val="24"/>
          <w:szCs w:val="24"/>
        </w:rPr>
      </w:pPr>
    </w:p>
    <w:p w:rsidR="00DD2099" w:rsidRPr="00F6086C" w:rsidRDefault="00DD2099" w:rsidP="00DD2099">
      <w:pPr>
        <w:autoSpaceDE w:val="0"/>
        <w:autoSpaceDN w:val="0"/>
        <w:bidi w:val="0"/>
        <w:adjustRightInd w:val="0"/>
        <w:rPr>
          <w:rFonts w:asciiTheme="majorBidi" w:hAnsiTheme="majorBidi" w:cstheme="majorBidi"/>
          <w:b/>
          <w:bCs/>
          <w:sz w:val="24"/>
          <w:szCs w:val="24"/>
        </w:rPr>
      </w:pPr>
      <w:r w:rsidRPr="00F6086C">
        <w:rPr>
          <w:rFonts w:asciiTheme="majorBidi" w:hAnsiTheme="majorBidi" w:cstheme="majorBidi"/>
          <w:b/>
          <w:bCs/>
          <w:sz w:val="24"/>
          <w:szCs w:val="24"/>
        </w:rPr>
        <w:t>Increase of the Palestinian population through history:</w:t>
      </w:r>
    </w:p>
    <w:p w:rsidR="00DD2099" w:rsidRDefault="00DD2099" w:rsidP="00DD2099">
      <w:pPr>
        <w:autoSpaceDE w:val="0"/>
        <w:autoSpaceDN w:val="0"/>
        <w:bidi w:val="0"/>
        <w:adjustRightInd w:val="0"/>
        <w:rPr>
          <w:rFonts w:asciiTheme="majorBidi" w:hAnsiTheme="majorBidi" w:cstheme="majorBidi"/>
          <w:sz w:val="24"/>
          <w:szCs w:val="24"/>
        </w:rPr>
      </w:pPr>
    </w:p>
    <w:p w:rsidR="00DD2099" w:rsidRPr="005D5251" w:rsidRDefault="00DD2099" w:rsidP="005D5251">
      <w:pPr>
        <w:pStyle w:val="ListParagraph"/>
        <w:numPr>
          <w:ilvl w:val="0"/>
          <w:numId w:val="19"/>
        </w:numPr>
        <w:autoSpaceDE w:val="0"/>
        <w:autoSpaceDN w:val="0"/>
        <w:bidi w:val="0"/>
        <w:adjustRightInd w:val="0"/>
        <w:jc w:val="both"/>
        <w:rPr>
          <w:rFonts w:asciiTheme="majorBidi" w:hAnsiTheme="majorBidi" w:cstheme="majorBidi"/>
          <w:sz w:val="24"/>
          <w:szCs w:val="24"/>
        </w:rPr>
      </w:pPr>
      <w:r w:rsidRPr="005D5251">
        <w:rPr>
          <w:rFonts w:asciiTheme="majorBidi" w:hAnsiTheme="majorBidi" w:cstheme="majorBidi"/>
          <w:sz w:val="24"/>
          <w:szCs w:val="24"/>
        </w:rPr>
        <w:t>Data indicated that the population size in historical Palestine reached 757</w:t>
      </w:r>
      <w:r w:rsidR="00F24625" w:rsidRPr="005D5251">
        <w:t xml:space="preserve"> </w:t>
      </w:r>
      <w:r w:rsidR="00F24625" w:rsidRPr="00E42535">
        <w:rPr>
          <w:rFonts w:asciiTheme="majorBidi" w:hAnsiTheme="majorBidi" w:cstheme="majorBidi"/>
          <w:sz w:val="24"/>
          <w:szCs w:val="24"/>
        </w:rPr>
        <w:t>thousand</w:t>
      </w:r>
      <w:r w:rsidR="001B685B" w:rsidRPr="00E42535">
        <w:rPr>
          <w:rFonts w:asciiTheme="majorBidi" w:hAnsiTheme="majorBidi" w:cstheme="majorBidi"/>
          <w:sz w:val="24"/>
          <w:szCs w:val="24"/>
        </w:rPr>
        <w:t>s</w:t>
      </w:r>
      <w:r w:rsidR="00F24625" w:rsidRPr="005D5251">
        <w:t xml:space="preserve"> </w:t>
      </w:r>
      <w:r w:rsidRPr="005D5251">
        <w:rPr>
          <w:rFonts w:asciiTheme="majorBidi" w:hAnsiTheme="majorBidi" w:cstheme="majorBidi"/>
          <w:sz w:val="24"/>
          <w:szCs w:val="24"/>
        </w:rPr>
        <w:t>according to 1922 census; 1.04 million according to 1931 census; 1.47 million in 1944 and 1.98 million in 1947 of whom 730-960</w:t>
      </w:r>
      <w:r w:rsidR="00F24625" w:rsidRPr="005D5251">
        <w:rPr>
          <w:rFonts w:asciiTheme="majorBidi" w:hAnsiTheme="majorBidi" w:cstheme="majorBidi"/>
          <w:sz w:val="24"/>
          <w:szCs w:val="24"/>
        </w:rPr>
        <w:t xml:space="preserve"> </w:t>
      </w:r>
      <w:r w:rsidR="00F24625" w:rsidRPr="005D5251">
        <w:t xml:space="preserve">thousand  </w:t>
      </w:r>
      <w:r w:rsidRPr="005D5251">
        <w:rPr>
          <w:rFonts w:asciiTheme="majorBidi" w:hAnsiTheme="majorBidi" w:cstheme="majorBidi"/>
          <w:sz w:val="24"/>
          <w:szCs w:val="24"/>
        </w:rPr>
        <w:t xml:space="preserve">have been forced out of their land due to 1948 war according to UN estimations. </w:t>
      </w:r>
    </w:p>
    <w:p w:rsidR="00DD2099" w:rsidRPr="005D5251" w:rsidRDefault="00DD2099" w:rsidP="005D5251">
      <w:pPr>
        <w:pStyle w:val="ListParagraph"/>
        <w:numPr>
          <w:ilvl w:val="0"/>
          <w:numId w:val="19"/>
        </w:numPr>
        <w:autoSpaceDE w:val="0"/>
        <w:autoSpaceDN w:val="0"/>
        <w:bidi w:val="0"/>
        <w:adjustRightInd w:val="0"/>
        <w:jc w:val="both"/>
        <w:rPr>
          <w:rFonts w:asciiTheme="majorBidi" w:hAnsiTheme="majorBidi" w:cstheme="majorBidi"/>
          <w:sz w:val="24"/>
          <w:szCs w:val="24"/>
        </w:rPr>
      </w:pPr>
      <w:r w:rsidRPr="005D5251">
        <w:rPr>
          <w:rFonts w:asciiTheme="majorBidi" w:hAnsiTheme="majorBidi" w:cstheme="majorBidi"/>
          <w:sz w:val="24"/>
          <w:szCs w:val="24"/>
        </w:rPr>
        <w:t>Government of the Hashemite Kingdom of Jordan conducted two censuses in 1952 and 1961 during governing the West Bank. The results of 1952 census indicated that West Bank population reached 667</w:t>
      </w:r>
      <w:r w:rsidR="00F24625" w:rsidRPr="005D5251">
        <w:t xml:space="preserve"> thousand </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and 805</w:t>
      </w:r>
      <w:r w:rsidR="00F24625" w:rsidRPr="005D5251">
        <w:t xml:space="preserve"> thousand </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according to 1961 census. As for the Gaza Strip, there were no statistical activities to provide authentic statistical data on the Gaza Strip population during governing the Gaza Strip by Egypt. </w:t>
      </w:r>
    </w:p>
    <w:p w:rsidR="00DD2099" w:rsidRPr="005D5251" w:rsidRDefault="00DD2099" w:rsidP="005D5251">
      <w:pPr>
        <w:pStyle w:val="ListParagraph"/>
        <w:numPr>
          <w:ilvl w:val="0"/>
          <w:numId w:val="19"/>
        </w:numPr>
        <w:autoSpaceDE w:val="0"/>
        <w:autoSpaceDN w:val="0"/>
        <w:bidi w:val="0"/>
        <w:adjustRightInd w:val="0"/>
        <w:jc w:val="both"/>
        <w:rPr>
          <w:rFonts w:asciiTheme="majorBidi" w:hAnsiTheme="majorBidi" w:cstheme="majorBidi"/>
          <w:sz w:val="24"/>
          <w:szCs w:val="24"/>
        </w:rPr>
      </w:pPr>
      <w:r w:rsidRPr="005D5251">
        <w:rPr>
          <w:rFonts w:asciiTheme="majorBidi" w:hAnsiTheme="majorBidi" w:cstheme="majorBidi"/>
          <w:sz w:val="24"/>
          <w:szCs w:val="24"/>
        </w:rPr>
        <w:t xml:space="preserve">After occupying West Bank and the Gaza Strip by the Israeli Occupation Forces in 1967, they conducted a population census in September, 1967. The census was conducted to serve the Israeli occupation purposes where the population size in West Bank reached 603,383 </w:t>
      </w:r>
      <w:r w:rsidR="00F24625" w:rsidRPr="005D5251">
        <w:rPr>
          <w:rFonts w:asciiTheme="majorBidi" w:hAnsiTheme="majorBidi" w:cstheme="majorBidi"/>
          <w:sz w:val="24"/>
          <w:szCs w:val="24"/>
        </w:rPr>
        <w:t>person</w:t>
      </w:r>
      <w:r w:rsidR="00D04589" w:rsidRPr="005D5251">
        <w:rPr>
          <w:rFonts w:asciiTheme="majorBidi" w:hAnsiTheme="majorBidi" w:cstheme="majorBidi"/>
          <w:sz w:val="24"/>
          <w:szCs w:val="24"/>
        </w:rPr>
        <w:t>s</w:t>
      </w:r>
      <w:r w:rsidRPr="005D5251">
        <w:rPr>
          <w:rFonts w:asciiTheme="majorBidi" w:hAnsiTheme="majorBidi" w:cstheme="majorBidi"/>
          <w:sz w:val="24"/>
          <w:szCs w:val="24"/>
        </w:rPr>
        <w:t xml:space="preserve"> and 394,424 </w:t>
      </w:r>
      <w:r w:rsidR="00F24625" w:rsidRPr="005D5251">
        <w:rPr>
          <w:rFonts w:asciiTheme="majorBidi" w:hAnsiTheme="majorBidi" w:cstheme="majorBidi"/>
          <w:sz w:val="24"/>
          <w:szCs w:val="24"/>
        </w:rPr>
        <w:t>person</w:t>
      </w:r>
      <w:r w:rsidR="00D04589" w:rsidRPr="005D5251">
        <w:rPr>
          <w:rFonts w:asciiTheme="majorBidi" w:hAnsiTheme="majorBidi" w:cstheme="majorBidi"/>
          <w:sz w:val="24"/>
          <w:szCs w:val="24"/>
        </w:rPr>
        <w:t>s</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in the Gaza Strip and North Sinai. </w:t>
      </w:r>
    </w:p>
    <w:p w:rsidR="00DD2099" w:rsidRPr="005D5251" w:rsidRDefault="00DD2099" w:rsidP="005D5251">
      <w:pPr>
        <w:pStyle w:val="ListParagraph"/>
        <w:numPr>
          <w:ilvl w:val="0"/>
          <w:numId w:val="19"/>
        </w:numPr>
        <w:autoSpaceDE w:val="0"/>
        <w:autoSpaceDN w:val="0"/>
        <w:bidi w:val="0"/>
        <w:adjustRightInd w:val="0"/>
        <w:jc w:val="both"/>
        <w:rPr>
          <w:rFonts w:asciiTheme="majorBidi" w:hAnsiTheme="majorBidi" w:cstheme="majorBidi"/>
          <w:sz w:val="24"/>
          <w:szCs w:val="24"/>
        </w:rPr>
      </w:pPr>
      <w:r w:rsidRPr="005D5251">
        <w:rPr>
          <w:rFonts w:asciiTheme="majorBidi" w:hAnsiTheme="majorBidi" w:cstheme="majorBidi"/>
          <w:sz w:val="24"/>
          <w:szCs w:val="24"/>
        </w:rPr>
        <w:t>Palestinian Central Bureau of Statistics (PCBS) conducted two censuses in 1997 and 2007.</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 The final results of the Population, Housing and Establishment census 1997 indicated that the total population size reached 2,895,683 </w:t>
      </w:r>
      <w:r w:rsidR="00D04589" w:rsidRPr="005D5251">
        <w:rPr>
          <w:rFonts w:asciiTheme="majorBidi" w:hAnsiTheme="majorBidi" w:cstheme="majorBidi"/>
          <w:sz w:val="24"/>
          <w:szCs w:val="24"/>
        </w:rPr>
        <w:t xml:space="preserve">persons </w:t>
      </w:r>
      <w:r w:rsidRPr="005D5251">
        <w:rPr>
          <w:rFonts w:asciiTheme="majorBidi" w:hAnsiTheme="majorBidi" w:cstheme="majorBidi"/>
          <w:sz w:val="24"/>
          <w:szCs w:val="24"/>
        </w:rPr>
        <w:t>in the Palestinian territory of whom 1,873,4</w:t>
      </w:r>
      <w:r w:rsidR="00F24625" w:rsidRPr="005D5251">
        <w:rPr>
          <w:rFonts w:asciiTheme="majorBidi" w:hAnsiTheme="majorBidi" w:cstheme="majorBidi"/>
          <w:sz w:val="24"/>
          <w:szCs w:val="24"/>
        </w:rPr>
        <w:t>76</w:t>
      </w:r>
      <w:r w:rsidRPr="005D5251">
        <w:rPr>
          <w:rFonts w:asciiTheme="majorBidi" w:hAnsiTheme="majorBidi" w:cstheme="majorBidi"/>
          <w:sz w:val="24"/>
          <w:szCs w:val="24"/>
        </w:rPr>
        <w:t xml:space="preserve"> </w:t>
      </w:r>
      <w:r w:rsidR="00D63C31" w:rsidRPr="005D5251">
        <w:rPr>
          <w:rFonts w:asciiTheme="majorBidi" w:hAnsiTheme="majorBidi" w:cstheme="majorBidi"/>
          <w:sz w:val="24"/>
          <w:szCs w:val="24"/>
        </w:rPr>
        <w:t xml:space="preserve">persons </w:t>
      </w:r>
      <w:r w:rsidRPr="005D5251">
        <w:rPr>
          <w:rFonts w:asciiTheme="majorBidi" w:hAnsiTheme="majorBidi" w:cstheme="majorBidi"/>
          <w:sz w:val="24"/>
          <w:szCs w:val="24"/>
        </w:rPr>
        <w:t xml:space="preserve">in West Bank and 1,022,207 </w:t>
      </w:r>
      <w:r w:rsidR="00F24625" w:rsidRPr="005D5251">
        <w:rPr>
          <w:rFonts w:asciiTheme="majorBidi" w:hAnsiTheme="majorBidi" w:cstheme="majorBidi"/>
          <w:sz w:val="24"/>
          <w:szCs w:val="24"/>
        </w:rPr>
        <w:t>person</w:t>
      </w:r>
      <w:r w:rsidR="00D04589" w:rsidRPr="005D5251">
        <w:rPr>
          <w:rFonts w:asciiTheme="majorBidi" w:hAnsiTheme="majorBidi" w:cstheme="majorBidi"/>
          <w:sz w:val="24"/>
          <w:szCs w:val="24"/>
        </w:rPr>
        <w:t>s</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in the Gaza Strip. The final results of the Population, Housing and Establishment census 2007 indicated that the total population size reached 3,767,126 </w:t>
      </w:r>
      <w:r w:rsidR="00F24625" w:rsidRPr="005D5251">
        <w:rPr>
          <w:rFonts w:asciiTheme="majorBidi" w:hAnsiTheme="majorBidi" w:cstheme="majorBidi"/>
          <w:sz w:val="24"/>
          <w:szCs w:val="24"/>
        </w:rPr>
        <w:t>person</w:t>
      </w:r>
      <w:r w:rsidR="00D04589" w:rsidRPr="005D5251">
        <w:rPr>
          <w:rFonts w:asciiTheme="majorBidi" w:hAnsiTheme="majorBidi" w:cstheme="majorBidi"/>
          <w:sz w:val="24"/>
          <w:szCs w:val="24"/>
        </w:rPr>
        <w:t>s</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in the Palestinian territory of whom 2,350,583 </w:t>
      </w:r>
      <w:r w:rsidR="00D04589" w:rsidRPr="005D5251">
        <w:rPr>
          <w:rFonts w:asciiTheme="majorBidi" w:hAnsiTheme="majorBidi" w:cstheme="majorBidi"/>
          <w:sz w:val="24"/>
          <w:szCs w:val="24"/>
        </w:rPr>
        <w:t xml:space="preserve">persons </w:t>
      </w:r>
      <w:r w:rsidRPr="005D5251">
        <w:rPr>
          <w:rFonts w:asciiTheme="majorBidi" w:hAnsiTheme="majorBidi" w:cstheme="majorBidi"/>
          <w:sz w:val="24"/>
          <w:szCs w:val="24"/>
        </w:rPr>
        <w:t xml:space="preserve">in West Bank and 1,416,543 </w:t>
      </w:r>
      <w:r w:rsidR="00F24625" w:rsidRPr="005D5251">
        <w:rPr>
          <w:rFonts w:asciiTheme="majorBidi" w:hAnsiTheme="majorBidi" w:cstheme="majorBidi"/>
          <w:sz w:val="24"/>
          <w:szCs w:val="24"/>
        </w:rPr>
        <w:t>person</w:t>
      </w:r>
      <w:r w:rsidR="00D04589" w:rsidRPr="005D5251">
        <w:rPr>
          <w:rFonts w:asciiTheme="majorBidi" w:hAnsiTheme="majorBidi" w:cstheme="majorBidi"/>
          <w:sz w:val="24"/>
          <w:szCs w:val="24"/>
        </w:rPr>
        <w:t>s</w:t>
      </w:r>
      <w:r w:rsidR="00F24625"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in the Gaza Strip.      </w:t>
      </w:r>
    </w:p>
    <w:p w:rsidR="00DD2099" w:rsidRPr="005D5251" w:rsidRDefault="00DD2099" w:rsidP="005D5251">
      <w:pPr>
        <w:pStyle w:val="ListParagraph"/>
        <w:autoSpaceDE w:val="0"/>
        <w:autoSpaceDN w:val="0"/>
        <w:bidi w:val="0"/>
        <w:adjustRightInd w:val="0"/>
        <w:spacing w:after="0" w:line="240" w:lineRule="auto"/>
        <w:rPr>
          <w:rFonts w:asciiTheme="majorBidi" w:hAnsiTheme="majorBidi" w:cstheme="majorBidi"/>
          <w:sz w:val="24"/>
          <w:szCs w:val="24"/>
        </w:rPr>
      </w:pPr>
    </w:p>
    <w:p w:rsidR="00DD2099" w:rsidRPr="005D5251" w:rsidRDefault="00DD2099" w:rsidP="005D5251">
      <w:pPr>
        <w:autoSpaceDE w:val="0"/>
        <w:autoSpaceDN w:val="0"/>
        <w:bidi w:val="0"/>
        <w:adjustRightInd w:val="0"/>
        <w:rPr>
          <w:rFonts w:asciiTheme="majorBidi" w:hAnsiTheme="majorBidi" w:cstheme="majorBidi"/>
          <w:b/>
          <w:bCs/>
          <w:sz w:val="24"/>
          <w:szCs w:val="24"/>
        </w:rPr>
      </w:pPr>
      <w:r w:rsidRPr="005D5251">
        <w:rPr>
          <w:rFonts w:asciiTheme="majorBidi" w:hAnsiTheme="majorBidi" w:cstheme="majorBidi"/>
          <w:b/>
          <w:bCs/>
          <w:sz w:val="24"/>
          <w:szCs w:val="24"/>
        </w:rPr>
        <w:t>Population projections in the Palestinian territory:</w:t>
      </w:r>
    </w:p>
    <w:p w:rsidR="00DD2099" w:rsidRPr="005D5251" w:rsidRDefault="00DD2099" w:rsidP="005D5251">
      <w:pPr>
        <w:autoSpaceDE w:val="0"/>
        <w:autoSpaceDN w:val="0"/>
        <w:bidi w:val="0"/>
        <w:adjustRightInd w:val="0"/>
        <w:rPr>
          <w:rFonts w:asciiTheme="majorBidi" w:hAnsiTheme="majorBidi" w:cstheme="majorBidi"/>
          <w:b/>
          <w:bCs/>
          <w:sz w:val="24"/>
          <w:szCs w:val="24"/>
        </w:rPr>
      </w:pPr>
      <w:r w:rsidRPr="005D5251">
        <w:rPr>
          <w:rFonts w:asciiTheme="majorBidi" w:hAnsiTheme="majorBidi" w:cstheme="majorBidi"/>
          <w:b/>
          <w:bCs/>
          <w:sz w:val="24"/>
          <w:szCs w:val="24"/>
        </w:rPr>
        <w:t xml:space="preserve"> </w:t>
      </w: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 xml:space="preserve">According to PCBS estimations based on the results of the Population, Housing and Establishment census 2007, the total size of the population in the Palestinian territory is expected to rise from 4.17 million in mid 2011 to 5.37 million in mid 2020 and 6.06 million in mid 2025. </w:t>
      </w:r>
    </w:p>
    <w:p w:rsidR="00DD2099" w:rsidRPr="005D5251" w:rsidRDefault="00DD2099" w:rsidP="005D5251">
      <w:pPr>
        <w:autoSpaceDE w:val="0"/>
        <w:autoSpaceDN w:val="0"/>
        <w:bidi w:val="0"/>
        <w:adjustRightInd w:val="0"/>
        <w:rPr>
          <w:rFonts w:asciiTheme="majorBidi" w:hAnsiTheme="majorBidi" w:cstheme="majorBidi"/>
          <w:sz w:val="24"/>
          <w:szCs w:val="24"/>
        </w:rPr>
      </w:pPr>
    </w:p>
    <w:p w:rsidR="005D5251" w:rsidRDefault="005D5251">
      <w:pPr>
        <w:bidi w:val="0"/>
        <w:rPr>
          <w:rFonts w:asciiTheme="majorBidi" w:hAnsiTheme="majorBidi" w:cstheme="majorBidi"/>
          <w:b/>
          <w:bCs/>
          <w:sz w:val="24"/>
          <w:szCs w:val="24"/>
        </w:rPr>
      </w:pPr>
      <w:r>
        <w:rPr>
          <w:rFonts w:asciiTheme="majorBidi" w:hAnsiTheme="majorBidi" w:cstheme="majorBidi"/>
          <w:b/>
          <w:bCs/>
          <w:sz w:val="24"/>
          <w:szCs w:val="24"/>
        </w:rPr>
        <w:br w:type="page"/>
      </w:r>
    </w:p>
    <w:p w:rsidR="00DD2099" w:rsidRPr="005D5251" w:rsidRDefault="00DD2099" w:rsidP="005D5251">
      <w:pPr>
        <w:autoSpaceDE w:val="0"/>
        <w:autoSpaceDN w:val="0"/>
        <w:bidi w:val="0"/>
        <w:adjustRightInd w:val="0"/>
        <w:rPr>
          <w:rFonts w:asciiTheme="majorBidi" w:hAnsiTheme="majorBidi" w:cstheme="majorBidi"/>
          <w:b/>
          <w:bCs/>
          <w:sz w:val="24"/>
          <w:szCs w:val="24"/>
        </w:rPr>
      </w:pPr>
      <w:r w:rsidRPr="005D5251">
        <w:rPr>
          <w:rFonts w:asciiTheme="majorBidi" w:hAnsiTheme="majorBidi" w:cstheme="majorBidi"/>
          <w:b/>
          <w:bCs/>
          <w:sz w:val="24"/>
          <w:szCs w:val="24"/>
        </w:rPr>
        <w:lastRenderedPageBreak/>
        <w:t>Demographic situation in the Palestinian territory:</w:t>
      </w:r>
    </w:p>
    <w:p w:rsidR="00DD2099" w:rsidRPr="005D5251" w:rsidRDefault="00DD2099" w:rsidP="005D5251">
      <w:pPr>
        <w:autoSpaceDE w:val="0"/>
        <w:autoSpaceDN w:val="0"/>
        <w:bidi w:val="0"/>
        <w:adjustRightInd w:val="0"/>
        <w:rPr>
          <w:rFonts w:asciiTheme="majorBidi" w:hAnsiTheme="majorBidi" w:cstheme="majorBidi"/>
          <w:sz w:val="24"/>
          <w:szCs w:val="24"/>
        </w:rPr>
      </w:pP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 xml:space="preserve">Age structure in the Palestinian territory in 2011 indicate that the percentage of </w:t>
      </w:r>
      <w:r w:rsidR="00D04589" w:rsidRPr="005D5251">
        <w:rPr>
          <w:rFonts w:asciiTheme="majorBidi" w:hAnsiTheme="majorBidi" w:cstheme="majorBidi"/>
          <w:sz w:val="24"/>
          <w:szCs w:val="24"/>
        </w:rPr>
        <w:t xml:space="preserve">population </w:t>
      </w:r>
      <w:r w:rsidRPr="005D5251">
        <w:rPr>
          <w:rFonts w:asciiTheme="majorBidi" w:hAnsiTheme="majorBidi" w:cstheme="majorBidi"/>
          <w:sz w:val="24"/>
          <w:szCs w:val="24"/>
        </w:rPr>
        <w:t>aged 0-14 reached 40.8% of the total size of population in the Palestinian territory. Percentage of</w:t>
      </w:r>
      <w:r w:rsidR="00D04589"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 </w:t>
      </w:r>
      <w:r w:rsidR="00D04589" w:rsidRPr="005D5251">
        <w:rPr>
          <w:rFonts w:asciiTheme="majorBidi" w:hAnsiTheme="majorBidi" w:cstheme="majorBidi"/>
          <w:sz w:val="24"/>
          <w:szCs w:val="24"/>
        </w:rPr>
        <w:t xml:space="preserve">population </w:t>
      </w:r>
      <w:r w:rsidRPr="005D5251">
        <w:rPr>
          <w:rFonts w:asciiTheme="majorBidi" w:hAnsiTheme="majorBidi" w:cstheme="majorBidi"/>
          <w:sz w:val="24"/>
          <w:szCs w:val="24"/>
        </w:rPr>
        <w:t xml:space="preserve">aged 65 and over reached 2.9% only. </w:t>
      </w:r>
      <w:r w:rsidR="00D04589" w:rsidRPr="005D5251">
        <w:rPr>
          <w:rFonts w:asciiTheme="majorBidi" w:hAnsiTheme="majorBidi" w:cstheme="majorBidi"/>
          <w:sz w:val="24"/>
          <w:szCs w:val="24"/>
        </w:rPr>
        <w:t xml:space="preserve"> </w:t>
      </w:r>
      <w:r w:rsidRPr="005D5251">
        <w:rPr>
          <w:rFonts w:asciiTheme="majorBidi" w:hAnsiTheme="majorBidi" w:cstheme="majorBidi"/>
          <w:sz w:val="24"/>
          <w:szCs w:val="24"/>
        </w:rPr>
        <w:t xml:space="preserve">Population projections indicate that percentage of </w:t>
      </w:r>
      <w:r w:rsidR="00D04589" w:rsidRPr="005D5251">
        <w:rPr>
          <w:rFonts w:asciiTheme="majorBidi" w:hAnsiTheme="majorBidi" w:cstheme="majorBidi"/>
          <w:sz w:val="24"/>
          <w:szCs w:val="24"/>
        </w:rPr>
        <w:t xml:space="preserve">population </w:t>
      </w:r>
      <w:r w:rsidRPr="005D5251">
        <w:rPr>
          <w:rFonts w:asciiTheme="majorBidi" w:hAnsiTheme="majorBidi" w:cstheme="majorBidi"/>
          <w:sz w:val="24"/>
          <w:szCs w:val="24"/>
        </w:rPr>
        <w:t xml:space="preserve">aged 15 and less will reach 39.4% in 2015 in the Palestinian territory, 38.3% in 2020 and 34.6% in 2025. Percentage of </w:t>
      </w:r>
      <w:r w:rsidR="00D04589" w:rsidRPr="005D5251">
        <w:rPr>
          <w:rFonts w:asciiTheme="majorBidi" w:hAnsiTheme="majorBidi" w:cstheme="majorBidi"/>
          <w:sz w:val="24"/>
          <w:szCs w:val="24"/>
        </w:rPr>
        <w:t xml:space="preserve">population </w:t>
      </w:r>
      <w:r w:rsidRPr="005D5251">
        <w:rPr>
          <w:rFonts w:asciiTheme="majorBidi" w:hAnsiTheme="majorBidi" w:cstheme="majorBidi"/>
          <w:sz w:val="24"/>
          <w:szCs w:val="24"/>
        </w:rPr>
        <w:t xml:space="preserve">aged 65 and over will reach 2.9% in 2015, 3.1% in 2020 and 4.0% in 2025. </w:t>
      </w: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 xml:space="preserve">Estimated population density in 2011 reached 693 </w:t>
      </w:r>
      <w:r w:rsidR="00D04589" w:rsidRPr="005D5251">
        <w:rPr>
          <w:rFonts w:asciiTheme="majorBidi" w:hAnsiTheme="majorBidi" w:cstheme="majorBidi"/>
          <w:sz w:val="24"/>
          <w:szCs w:val="24"/>
        </w:rPr>
        <w:t xml:space="preserve">persons </w:t>
      </w:r>
      <w:r w:rsidRPr="005D5251">
        <w:rPr>
          <w:rFonts w:asciiTheme="majorBidi" w:hAnsiTheme="majorBidi" w:cstheme="majorBidi"/>
          <w:sz w:val="24"/>
          <w:szCs w:val="24"/>
        </w:rPr>
        <w:t xml:space="preserve">/km² in the Palestinian territory (456 </w:t>
      </w:r>
      <w:r w:rsidR="00D04589" w:rsidRPr="005D5251">
        <w:rPr>
          <w:rFonts w:asciiTheme="majorBidi" w:hAnsiTheme="majorBidi" w:cstheme="majorBidi"/>
          <w:sz w:val="24"/>
          <w:szCs w:val="24"/>
        </w:rPr>
        <w:t xml:space="preserve">persons </w:t>
      </w:r>
      <w:r w:rsidRPr="005D5251">
        <w:rPr>
          <w:rFonts w:asciiTheme="majorBidi" w:hAnsiTheme="majorBidi" w:cstheme="majorBidi"/>
          <w:sz w:val="24"/>
          <w:szCs w:val="24"/>
        </w:rPr>
        <w:t xml:space="preserve">/km² in West Bank and 4,353 </w:t>
      </w:r>
      <w:r w:rsidR="00D04589" w:rsidRPr="005D5251">
        <w:rPr>
          <w:rFonts w:asciiTheme="majorBidi" w:hAnsiTheme="majorBidi" w:cstheme="majorBidi"/>
          <w:sz w:val="24"/>
          <w:szCs w:val="24"/>
        </w:rPr>
        <w:t>persons</w:t>
      </w:r>
      <w:r w:rsidRPr="005D5251">
        <w:rPr>
          <w:rFonts w:asciiTheme="majorBidi" w:hAnsiTheme="majorBidi" w:cstheme="majorBidi"/>
          <w:sz w:val="24"/>
          <w:szCs w:val="24"/>
        </w:rPr>
        <w:t xml:space="preserve">/km² in the Gaza Strip. </w:t>
      </w: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Fertility rate in 2010 reached 4.2 births in the Palestinian territory (3.8 births in West Bank and 4.9 births in the Gaza Strip)</w:t>
      </w: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 xml:space="preserve">Population projections indicate that crude birth rate will drop from 32.8 births per 1000 of the population in 2011 to 31.9 births in 2015. Estimated crude death rates are expected to decline from 4.0 deaths per 1000 of the population in 2011 to 3.6 deaths per 1000 in 2015 in the Palestinian territory. </w:t>
      </w:r>
    </w:p>
    <w:p w:rsidR="00DD2099" w:rsidRPr="005D5251" w:rsidRDefault="00DD2099"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sz w:val="24"/>
          <w:szCs w:val="24"/>
        </w:rPr>
      </w:pPr>
      <w:r w:rsidRPr="005D5251">
        <w:rPr>
          <w:rFonts w:asciiTheme="majorBidi" w:hAnsiTheme="majorBidi" w:cstheme="majorBidi"/>
          <w:sz w:val="24"/>
          <w:szCs w:val="24"/>
        </w:rPr>
        <w:t xml:space="preserve">Life expectancy in 2011 in the Palestinian territory reached 72.4 years (71.0 males and 73.9 females). Life expectancy reached 72.8 years in West Bank (71.4 males and 74.3 females); while life expectancy in the Gaza Strip reached 71.8 years (70.5 males and 73.2 females). </w:t>
      </w:r>
    </w:p>
    <w:p w:rsidR="00DD2099" w:rsidRPr="005D5251" w:rsidRDefault="00DD2099" w:rsidP="005D5251">
      <w:pPr>
        <w:autoSpaceDE w:val="0"/>
        <w:autoSpaceDN w:val="0"/>
        <w:bidi w:val="0"/>
        <w:adjustRightInd w:val="0"/>
        <w:rPr>
          <w:rFonts w:asciiTheme="majorBidi" w:hAnsiTheme="majorBidi" w:cstheme="majorBidi"/>
          <w:b/>
          <w:bCs/>
          <w:sz w:val="24"/>
          <w:szCs w:val="24"/>
        </w:rPr>
      </w:pPr>
    </w:p>
    <w:p w:rsidR="00DD2099" w:rsidRPr="005D5251" w:rsidRDefault="00DD2099" w:rsidP="005D5251">
      <w:pPr>
        <w:autoSpaceDE w:val="0"/>
        <w:autoSpaceDN w:val="0"/>
        <w:bidi w:val="0"/>
        <w:adjustRightInd w:val="0"/>
        <w:rPr>
          <w:rFonts w:asciiTheme="majorBidi" w:hAnsiTheme="majorBidi" w:cstheme="majorBidi"/>
          <w:b/>
          <w:bCs/>
          <w:sz w:val="24"/>
          <w:szCs w:val="24"/>
        </w:rPr>
      </w:pPr>
      <w:r w:rsidRPr="005D5251">
        <w:rPr>
          <w:rFonts w:asciiTheme="majorBidi" w:hAnsiTheme="majorBidi" w:cstheme="majorBidi"/>
          <w:b/>
          <w:bCs/>
          <w:sz w:val="24"/>
          <w:szCs w:val="24"/>
        </w:rPr>
        <w:t xml:space="preserve">Social Situation in the Palestinian territory: </w:t>
      </w:r>
    </w:p>
    <w:p w:rsidR="00DD2099" w:rsidRPr="005D5251" w:rsidRDefault="00DD2099" w:rsidP="005D5251">
      <w:pPr>
        <w:autoSpaceDE w:val="0"/>
        <w:autoSpaceDN w:val="0"/>
        <w:bidi w:val="0"/>
        <w:adjustRightInd w:val="0"/>
        <w:rPr>
          <w:rFonts w:asciiTheme="majorBidi" w:hAnsiTheme="majorBidi" w:cstheme="majorBidi"/>
          <w:b/>
          <w:bCs/>
          <w:sz w:val="24"/>
          <w:szCs w:val="24"/>
        </w:rPr>
      </w:pP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eastAsia="Calibri" w:hAnsi="Times New Roman" w:cs="Times New Roman"/>
          <w:b/>
          <w:bCs/>
          <w:sz w:val="24"/>
          <w:szCs w:val="24"/>
        </w:rPr>
      </w:pPr>
      <w:r w:rsidRPr="005D5251">
        <w:rPr>
          <w:rFonts w:ascii="Times New Roman" w:eastAsia="Calibri" w:hAnsi="Times New Roman" w:cs="Times New Roman"/>
          <w:sz w:val="24"/>
          <w:szCs w:val="24"/>
        </w:rPr>
        <w:t xml:space="preserve">Number of operating hospitals in the Palestinian territory reached 76 hospitals in 2010. 32.9 % of these hospitals are supervised by the Ministry of Health; 1.3% by UNRWA; 39.5% by non-governmental organizations and 26.3% by the private sector.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eastAsia="Calibri" w:hAnsi="Times New Roman" w:cs="Times New Roman"/>
          <w:b/>
          <w:bCs/>
          <w:sz w:val="24"/>
          <w:szCs w:val="24"/>
        </w:rPr>
      </w:pPr>
      <w:r w:rsidRPr="005D5251">
        <w:rPr>
          <w:rFonts w:ascii="Times New Roman" w:eastAsia="Calibri" w:hAnsi="Times New Roman" w:cs="Times New Roman"/>
          <w:sz w:val="24"/>
          <w:szCs w:val="24"/>
        </w:rPr>
        <w:t>Number of primary health care centers in the Palestinian territory reached 706 centers in 2010. 64.1% of these centers are supervised by the Ministry of Health; 8.4% by UNRWA and 27.5% by non-governmental organizations.</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eastAsia="Calibri" w:hAnsi="Times New Roman" w:cs="Times New Roman"/>
          <w:b/>
          <w:bCs/>
          <w:sz w:val="24"/>
          <w:szCs w:val="24"/>
        </w:rPr>
      </w:pPr>
      <w:r w:rsidRPr="005D5251">
        <w:rPr>
          <w:rFonts w:ascii="Times New Roman" w:eastAsia="Calibri" w:hAnsi="Times New Roman" w:cs="Times New Roman"/>
          <w:sz w:val="24"/>
          <w:szCs w:val="24"/>
        </w:rPr>
        <w:t xml:space="preserve">Data of 2010 indicated that 22.5% of individuals aged 18 years and above in the Palestinian Territory were reported as smokers; 26.9% in the West Bank and 14.6% in the Gaza Strip.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eastAsia="Calibri" w:hAnsi="Times New Roman" w:cs="Times New Roman"/>
          <w:b/>
          <w:bCs/>
          <w:sz w:val="24"/>
          <w:szCs w:val="24"/>
        </w:rPr>
      </w:pPr>
      <w:r w:rsidRPr="005D5251">
        <w:rPr>
          <w:rFonts w:ascii="Times New Roman" w:eastAsia="Calibri" w:hAnsi="Times New Roman" w:cs="Times New Roman"/>
          <w:sz w:val="24"/>
          <w:szCs w:val="24"/>
        </w:rPr>
        <w:t>Data of 2010 indicated that there is a slight increase in using family planning tools where 52.5% of women aged 15-49 use family planning tools in the Palestinian territory (55.1% in West Bank and 48.1% in the Gaza Strip). Data also indicated that 99.2% of women of the same age group in the Palestinian territory received health care by a qualified personnel during their last pregnancy (4 visits at least) (99.3% in West Bank and 99.2% in the Gaza Strip)</w:t>
      </w:r>
      <w:r w:rsidRPr="005D5251">
        <w:rPr>
          <w:rFonts w:ascii="Times New Roman" w:eastAsia="Calibri" w:hAnsi="Times New Roman" w:cs="Times New Roman"/>
          <w:b/>
          <w:bCs/>
          <w:sz w:val="24"/>
          <w:szCs w:val="24"/>
        </w:rPr>
        <w:t xml:space="preserve">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imes New Roman" w:eastAsia="Calibri" w:hAnsi="Times New Roman" w:cs="Times New Roman"/>
          <w:sz w:val="24"/>
          <w:szCs w:val="24"/>
        </w:rPr>
        <w:t>Data of 2010 indicated that 10.6% of children less than 5 years suffer from severe malnutrition (stunting) in the Palestinian territory (11.3% in West</w:t>
      </w:r>
      <w:r w:rsidRPr="005D5251">
        <w:rPr>
          <w:rFonts w:ascii="Times New Roman" w:eastAsia="Calibri" w:hAnsi="Times New Roman" w:cs="Times New Roman"/>
          <w:b/>
          <w:bCs/>
          <w:sz w:val="24"/>
          <w:szCs w:val="24"/>
        </w:rPr>
        <w:t xml:space="preserve"> </w:t>
      </w:r>
      <w:r w:rsidRPr="005D5251">
        <w:rPr>
          <w:rFonts w:ascii="Times New Roman" w:eastAsia="Calibri" w:hAnsi="Times New Roman" w:cs="Times New Roman"/>
          <w:sz w:val="24"/>
          <w:szCs w:val="24"/>
        </w:rPr>
        <w:t xml:space="preserve">Bank and 9.9% in the Gaza Strip); 3.3% suffer from wasting (2.8% in West Bank and 3.8% in the Gaza Strip) and 3.7% suffer from underweight (3.8% in West Bank and 3.5% in the Gaza Strip). </w:t>
      </w:r>
      <w:r w:rsidRPr="005D5251">
        <w:rPr>
          <w:rFonts w:asciiTheme="majorBidi" w:hAnsiTheme="majorBidi" w:cstheme="majorBidi"/>
          <w:sz w:val="24"/>
          <w:szCs w:val="24"/>
        </w:rPr>
        <w:t xml:space="preserve">The results of the Labor Force survey 1995 indicated that the percentage of individuals aged 15 and over who have finished bachelor and above reached 4.3% and percentage of those who have completed any educational stage reached 26.5%. While the results of the Labor Force survey 2010 indicated that the percentage of individuals aged 15 and over who have finished bachelor and above reached 10.4% and percentage of those who have completed any educational stage reached 11.2%.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heme="majorBidi" w:hAnsiTheme="majorBidi" w:cstheme="majorBidi"/>
          <w:sz w:val="24"/>
          <w:szCs w:val="24"/>
        </w:rPr>
        <w:t xml:space="preserve">The results of the Labor Force survey 1995 indicated that illiteracy rate among individuals aged 15 and over in the Palestinian territory reached 15.7% (15.9% in </w:t>
      </w:r>
      <w:r w:rsidRPr="005D5251">
        <w:rPr>
          <w:rFonts w:asciiTheme="majorBidi" w:hAnsiTheme="majorBidi" w:cstheme="majorBidi"/>
          <w:sz w:val="24"/>
          <w:szCs w:val="24"/>
        </w:rPr>
        <w:lastRenderedPageBreak/>
        <w:t>West Bank and 15.1% in the Gaza Strip). While the results of the Labor Force survey 2010 indicated that illiteracy rate among individuals aged 15 and over in the Palestinian territory reached 5.1%.</w:t>
      </w:r>
      <w:r w:rsidRPr="005D5251">
        <w:rPr>
          <w:rFonts w:ascii="Times New Roman" w:hAnsi="Times New Roman" w:cs="Times New Roman"/>
          <w:sz w:val="24"/>
          <w:szCs w:val="24"/>
        </w:rPr>
        <w:t>Illiteracy gap is significantly noticed among males and females at 2.4% for males and 7.8% for females in 2010.</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imes New Roman" w:hAnsi="Times New Roman" w:cs="Times New Roman"/>
          <w:sz w:val="24"/>
          <w:szCs w:val="24"/>
        </w:rPr>
        <w:t xml:space="preserve">Results drawn from database of the education survey of the scholastic year 1994/1995 that the number of schools in that year reached 1,474 in the Palestinian territory. The number of students was 617,868 students and number of teachers was 19,843 teachers.  Results drawn from database of the education survey of the scholastic year 2010/2011 that the number of schools in that year reached 2,652 schools in the Palestinian territory. The number of students reached 1,116,991 students who study in 36,320 classes and number of teachers reached 47,652 teachers.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imes New Roman" w:hAnsi="Times New Roman" w:cs="Times New Roman"/>
          <w:sz w:val="24"/>
          <w:szCs w:val="24"/>
        </w:rPr>
        <w:t xml:space="preserve">Results of the education survey of the scholastic year 1994/1995 indicated that the number of students who joined universities and colleges which grant bachelor degree and over reached 29,380 students and the number of students who joined colleges which grant diploma degree reached 4,110. Results of the education survey of the scholastic year 2009/2010 indicated that the number of universities reached 14 and the number of colleges reached 16 which grant bachelor degree and over with 182,453 students and the number of colleges which grant diploma degree reached 20 with 11,614 students.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imes New Roman" w:hAnsi="Times New Roman" w:cs="Times New Roman"/>
          <w:sz w:val="24"/>
          <w:szCs w:val="24"/>
        </w:rPr>
        <w:t xml:space="preserve">Data of 2009 indicated that 31.5% of individuals aged 10 and over in the Palestinian society read newspapers (34.9% males and 28.0% females); 45.7% of the individuals aged 10 and over listen to radio (46.9% males and 44.5% females) and 61.0% of the individuals aged 10 and over read books ( 6 individuals out of 10 read books in the Palestinian territory).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heme="majorBidi" w:hAnsiTheme="majorBidi" w:cstheme="majorBidi"/>
          <w:b/>
          <w:bCs/>
          <w:sz w:val="24"/>
          <w:szCs w:val="24"/>
        </w:rPr>
      </w:pPr>
      <w:r w:rsidRPr="005D5251">
        <w:rPr>
          <w:rFonts w:ascii="Times New Roman" w:hAnsi="Times New Roman" w:cs="Times New Roman"/>
          <w:sz w:val="24"/>
          <w:szCs w:val="24"/>
        </w:rPr>
        <w:t xml:space="preserve">Data of 2009 indicated that 6.9% of the individuals aged 10 and over member of sport club; 4.3% member of charitable societies; 4.6% member of a union or a syndicate; 3.3% member of public library; 3.5% member of political party and 3.0% member of cultural clubs.   </w:t>
      </w:r>
    </w:p>
    <w:p w:rsidR="00DD2099" w:rsidRPr="005D5251" w:rsidRDefault="00DD2099" w:rsidP="005D5251">
      <w:pPr>
        <w:autoSpaceDE w:val="0"/>
        <w:autoSpaceDN w:val="0"/>
        <w:bidi w:val="0"/>
        <w:adjustRightInd w:val="0"/>
        <w:rPr>
          <w:sz w:val="24"/>
          <w:szCs w:val="24"/>
        </w:rPr>
      </w:pPr>
    </w:p>
    <w:p w:rsidR="00A1025E" w:rsidRPr="005D5251" w:rsidRDefault="00A1025E" w:rsidP="005D5251">
      <w:pPr>
        <w:autoSpaceDE w:val="0"/>
        <w:autoSpaceDN w:val="0"/>
        <w:bidi w:val="0"/>
        <w:adjustRightInd w:val="0"/>
        <w:rPr>
          <w:b/>
          <w:bCs/>
          <w:sz w:val="24"/>
          <w:szCs w:val="24"/>
        </w:rPr>
      </w:pPr>
      <w:r w:rsidRPr="005D5251">
        <w:rPr>
          <w:b/>
          <w:bCs/>
          <w:sz w:val="24"/>
          <w:szCs w:val="24"/>
        </w:rPr>
        <w:t xml:space="preserve">Economic situation in the Palestinian Territory: </w:t>
      </w:r>
    </w:p>
    <w:p w:rsidR="00A1025E" w:rsidRPr="005D5251" w:rsidRDefault="00A1025E" w:rsidP="005D5251">
      <w:pPr>
        <w:autoSpaceDE w:val="0"/>
        <w:autoSpaceDN w:val="0"/>
        <w:bidi w:val="0"/>
        <w:adjustRightInd w:val="0"/>
        <w:rPr>
          <w:sz w:val="24"/>
          <w:szCs w:val="24"/>
        </w:rPr>
      </w:pP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Results of the labor force survey indicated that there is a decline in participation to 41.1% of the total manpower (individuals aged 15 and over) in 2010 comparing to 41.6% in 2009. Results of the labor force survey during the period 1995-2010 indicated that the percentage of participation fluctuated around close percentages where the lowest percentage reached 37.9% in 2002 and the highest percentage reached 41.7% in 2007.</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Unemployment rate in the Palestinian Territory reached 23.7% in 2010 (17.2% in West Bank and 37.8% in the Gaza Strip). It seems that there is a fluctuation in the unemployment rates where the highest unemployment rate reached 31.2% in Al-</w:t>
      </w:r>
      <w:proofErr w:type="spellStart"/>
      <w:r w:rsidRPr="005D5251">
        <w:rPr>
          <w:rFonts w:ascii="Times New Roman" w:hAnsi="Times New Roman" w:cs="Times New Roman"/>
          <w:sz w:val="24"/>
          <w:szCs w:val="24"/>
        </w:rPr>
        <w:t>Aqsa</w:t>
      </w:r>
      <w:proofErr w:type="spellEnd"/>
      <w:r w:rsidRPr="005D5251">
        <w:rPr>
          <w:rFonts w:ascii="Times New Roman" w:hAnsi="Times New Roman" w:cs="Times New Roman"/>
          <w:sz w:val="24"/>
          <w:szCs w:val="24"/>
        </w:rPr>
        <w:t xml:space="preserve"> Intifada in 2002 during the period 1995-2010; while the lowest unemployment rate reached 11.8% in 1999 during the same period. </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Unemployment rates in West Bank are different from unemployment rates in Gaza Strip due the geographical, social and political differences. Unemployment rates in West Bank fluctuate during the same period of time between the highest rate 28.2% in 2002 and the lowest rate 9.5% in 1999. While in Gaza Strip the rates are between the highest rate 40.6% in 2008 and the lowest rate 16.9% in 1999. </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Percentage of underemployment workers reached 7.1% in 2010; while the lowest percentage was 4.0% in 2001 during the period 1995-2010 and the highest percentage 21.1% in 1995. </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lastRenderedPageBreak/>
        <w:t xml:space="preserve">Data indicated that the percentage of underemployment is higher among males than females either in West Bank or Gaza Strip where the percentage of underemployment in the Palestinian territory reached 7.1% in 2010 (8.1% among males and 2.7% among females). Underemployment in West Bank reached 7.8% in the same year (9.0% among males and 2.6% among females). While underemployment in Gaza Strip reached 5.7% (6.2% among males and 3.0% among females). </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Employment rate of the professionals, technicians, associates and clerks) reached 24.3%  (18.3% males and 53.7% females) in 2010  which is the highest employment rate in the Palestinian Territory.  Where legislators, senior official and managers occupation still has the lowest employment rate of employees it reached 5.0%; then plant and machine operators and assemblers where its employment rate reached 7.8%.   </w:t>
      </w:r>
    </w:p>
    <w:p w:rsidR="00A1025E" w:rsidRPr="005D5251" w:rsidRDefault="00A1025E"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Employment rate of workers in Israel and settlements from West Bank reached 10.5% in 2010 where their employment rate before Al-</w:t>
      </w:r>
      <w:proofErr w:type="spellStart"/>
      <w:r w:rsidRPr="005D5251">
        <w:rPr>
          <w:rFonts w:ascii="Times New Roman" w:hAnsi="Times New Roman" w:cs="Times New Roman"/>
          <w:sz w:val="24"/>
          <w:szCs w:val="24"/>
        </w:rPr>
        <w:t>Aqsa</w:t>
      </w:r>
      <w:proofErr w:type="spellEnd"/>
      <w:r w:rsidRPr="005D5251">
        <w:rPr>
          <w:rFonts w:ascii="Times New Roman" w:hAnsi="Times New Roman" w:cs="Times New Roman"/>
          <w:sz w:val="24"/>
          <w:szCs w:val="24"/>
        </w:rPr>
        <w:t xml:space="preserve"> Intifada reached 22.9% in 1999. In Gaza Strip, no workers have worked in Israel and settlements since 2006 while their employment rate reached 15.7% in 1999 before Al-</w:t>
      </w:r>
      <w:proofErr w:type="spellStart"/>
      <w:r w:rsidRPr="005D5251">
        <w:rPr>
          <w:rFonts w:ascii="Times New Roman" w:hAnsi="Times New Roman" w:cs="Times New Roman"/>
          <w:sz w:val="24"/>
          <w:szCs w:val="24"/>
        </w:rPr>
        <w:t>Aqsa</w:t>
      </w:r>
      <w:proofErr w:type="spellEnd"/>
      <w:r w:rsidRPr="005D5251">
        <w:rPr>
          <w:rFonts w:ascii="Times New Roman" w:hAnsi="Times New Roman" w:cs="Times New Roman"/>
          <w:sz w:val="24"/>
          <w:szCs w:val="24"/>
        </w:rPr>
        <w:t xml:space="preserve"> Intifada. </w:t>
      </w:r>
    </w:p>
    <w:p w:rsidR="000130B7" w:rsidRPr="000130B7" w:rsidRDefault="000130B7" w:rsidP="000130B7">
      <w:pPr>
        <w:pStyle w:val="ListParagraph"/>
        <w:numPr>
          <w:ilvl w:val="0"/>
          <w:numId w:val="18"/>
        </w:numPr>
        <w:autoSpaceDE w:val="0"/>
        <w:autoSpaceDN w:val="0"/>
        <w:bidi w:val="0"/>
        <w:adjustRightInd w:val="0"/>
        <w:spacing w:after="0" w:line="240" w:lineRule="auto"/>
        <w:jc w:val="both"/>
        <w:rPr>
          <w:rFonts w:ascii="Times New Roman" w:hAnsi="Times New Roman" w:cs="Times New Roman"/>
          <w:color w:val="FF0000"/>
          <w:sz w:val="24"/>
          <w:szCs w:val="24"/>
        </w:rPr>
      </w:pPr>
      <w:r w:rsidRPr="000130B7">
        <w:rPr>
          <w:rFonts w:ascii="Times New Roman" w:hAnsi="Times New Roman" w:cs="Times New Roman"/>
          <w:color w:val="FF0000"/>
          <w:sz w:val="24"/>
          <w:szCs w:val="24"/>
        </w:rPr>
        <w:t xml:space="preserve">Public sector employed around one fourth of workers in the Palestinian Territory (24.0%) in 2010.  </w:t>
      </w:r>
    </w:p>
    <w:p w:rsidR="00DD2099" w:rsidRPr="005D5251" w:rsidRDefault="00DD2099" w:rsidP="005D5251">
      <w:pPr>
        <w:autoSpaceDE w:val="0"/>
        <w:autoSpaceDN w:val="0"/>
        <w:bidi w:val="0"/>
        <w:adjustRightInd w:val="0"/>
        <w:rPr>
          <w:b/>
          <w:bCs/>
          <w:sz w:val="24"/>
          <w:szCs w:val="24"/>
        </w:rPr>
      </w:pPr>
    </w:p>
    <w:p w:rsidR="00166479" w:rsidRPr="005D5251" w:rsidRDefault="00166479" w:rsidP="005D5251">
      <w:pPr>
        <w:autoSpaceDE w:val="0"/>
        <w:autoSpaceDN w:val="0"/>
        <w:bidi w:val="0"/>
        <w:adjustRightInd w:val="0"/>
        <w:rPr>
          <w:b/>
          <w:bCs/>
          <w:sz w:val="24"/>
          <w:szCs w:val="24"/>
        </w:rPr>
      </w:pPr>
      <w:r w:rsidRPr="005D5251">
        <w:rPr>
          <w:b/>
          <w:bCs/>
          <w:sz w:val="24"/>
          <w:szCs w:val="24"/>
        </w:rPr>
        <w:t xml:space="preserve">Living levels, housing conditions and surrounding environment: </w:t>
      </w:r>
    </w:p>
    <w:p w:rsidR="00166479" w:rsidRPr="005D5251" w:rsidRDefault="00166479" w:rsidP="005D5251">
      <w:pPr>
        <w:autoSpaceDE w:val="0"/>
        <w:autoSpaceDN w:val="0"/>
        <w:bidi w:val="0"/>
        <w:adjustRightInd w:val="0"/>
        <w:rPr>
          <w:b/>
          <w:bCs/>
          <w:sz w:val="24"/>
          <w:szCs w:val="24"/>
        </w:rPr>
      </w:pPr>
    </w:p>
    <w:p w:rsidR="00166479" w:rsidRPr="005D5251" w:rsidRDefault="00166479"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The Average monthly per capita expenditure in West Bank reached 173.1 JD in 2010 and 103.1 JD in Gaza Strip. </w:t>
      </w:r>
    </w:p>
    <w:p w:rsidR="00166479" w:rsidRPr="005D5251" w:rsidRDefault="00166479"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Poverty line of the reference household (5 individuals: 2 adults and 3 children) reached 2,237 NIS in 2010 in the Palestinian territory (about 609 USD). While deep poverty line of the same reference household reached 1,783 NIS (about 478 USD). </w:t>
      </w:r>
    </w:p>
    <w:p w:rsidR="00166479" w:rsidRPr="005D5251" w:rsidRDefault="00166479"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Poverty rate among individuals in 2010 according to monthly expenditure and consumption patterns reached 25.7% (18.3% in West Bank and 38.0% in Gaza Strip).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Data of 2010 indicated that 0.9% of the Palestinian households live in villa; 47.8% live in house; 50.2% live in apartments compared with 55.6% of the households living in houses; 40.8%  live in apartments and 1.6% live in villa in 2006. </w:t>
      </w:r>
    </w:p>
    <w:p w:rsidR="00FB63E2" w:rsidRPr="005D5251" w:rsidRDefault="00FB63E2" w:rsidP="005D5251">
      <w:pPr>
        <w:pStyle w:val="Heading3"/>
        <w:numPr>
          <w:ilvl w:val="0"/>
          <w:numId w:val="18"/>
        </w:numPr>
        <w:jc w:val="both"/>
        <w:rPr>
          <w:rFonts w:eastAsiaTheme="minorHAnsi"/>
          <w:b w:val="0"/>
          <w:bCs w:val="0"/>
          <w:sz w:val="24"/>
          <w:szCs w:val="24"/>
        </w:rPr>
      </w:pPr>
      <w:r w:rsidRPr="005D5251">
        <w:rPr>
          <w:rFonts w:eastAsiaTheme="minorHAnsi"/>
          <w:b w:val="0"/>
          <w:bCs w:val="0"/>
          <w:sz w:val="24"/>
          <w:szCs w:val="24"/>
        </w:rPr>
        <w:t>The percentage of households living in owned housing units in the Palestinian Territory is 83.8%, including 81.8% in the West Bank and 86.9% in Gaza Strip. In addition, 8.7% of households live in rented housing units, including 10.3% in the West Bank and 5.5% in Gaza Strip compared with 8.5%, 11.5% in the years 2000, 2006.</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The average housing density in the Palestinian Territory in general is 1.6 person per room. The average housing density in the West Bank is 1.5 whereas the average in Gaza Strip is 1.8 persons per room</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 Data of 2010 indicated that 91.4% of Palestinian households live in housing units where the main source of water is the public water network.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Data of 2010 indicated that 54.4% of Palestinian households live in housing units connected to public sewage network. </w:t>
      </w:r>
    </w:p>
    <w:p w:rsidR="00FB63E2" w:rsidRPr="00BA469E" w:rsidRDefault="00FB63E2" w:rsidP="00BA469E">
      <w:pPr>
        <w:pStyle w:val="ListParagraph"/>
        <w:numPr>
          <w:ilvl w:val="0"/>
          <w:numId w:val="18"/>
        </w:numPr>
        <w:autoSpaceDE w:val="0"/>
        <w:autoSpaceDN w:val="0"/>
        <w:bidi w:val="0"/>
        <w:adjustRightInd w:val="0"/>
        <w:spacing w:after="0" w:line="240" w:lineRule="auto"/>
        <w:jc w:val="both"/>
        <w:rPr>
          <w:rFonts w:ascii="Times New Roman" w:hAnsi="Times New Roman" w:cs="Times New Roman"/>
          <w:color w:val="FF0000"/>
          <w:sz w:val="24"/>
          <w:szCs w:val="24"/>
        </w:rPr>
      </w:pPr>
      <w:r w:rsidRPr="00BA469E">
        <w:rPr>
          <w:rFonts w:ascii="Times New Roman" w:hAnsi="Times New Roman" w:cs="Times New Roman"/>
          <w:color w:val="FF0000"/>
          <w:sz w:val="24"/>
          <w:szCs w:val="24"/>
        </w:rPr>
        <w:t>Data of 2010 indicated that 71.</w:t>
      </w:r>
      <w:r w:rsidR="00BA469E" w:rsidRPr="00BA469E">
        <w:rPr>
          <w:rFonts w:ascii="Times New Roman" w:hAnsi="Times New Roman" w:cs="Times New Roman" w:hint="cs"/>
          <w:color w:val="FF0000"/>
          <w:sz w:val="24"/>
          <w:szCs w:val="24"/>
          <w:rtl/>
        </w:rPr>
        <w:t>6</w:t>
      </w:r>
      <w:r w:rsidRPr="00BA469E">
        <w:rPr>
          <w:rFonts w:ascii="Times New Roman" w:hAnsi="Times New Roman" w:cs="Times New Roman"/>
          <w:color w:val="FF0000"/>
          <w:sz w:val="24"/>
          <w:szCs w:val="24"/>
        </w:rPr>
        <w:t>% of the Palestinian households need to build new housing units during the next ten years.</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Data of housing conditions survey 2010 indicated that 44.0% of the Palestinian households have Telephone Line (47.0% in West Bank and 38.2% in Gaza Strip). </w:t>
      </w:r>
    </w:p>
    <w:p w:rsidR="00FB63E2" w:rsidRPr="005D5251" w:rsidRDefault="00FB63E2"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Data of 2010 indicated that 14.1% of the Palestinian households live in housing units </w:t>
      </w:r>
      <w:r w:rsidRPr="005D5251">
        <w:rPr>
          <w:rFonts w:ascii="Calibri" w:eastAsia="Calibri" w:hAnsi="Calibri" w:cs="Times New Roman"/>
          <w:sz w:val="24"/>
        </w:rPr>
        <w:t xml:space="preserve">of an area </w:t>
      </w:r>
      <w:r w:rsidRPr="005D5251">
        <w:rPr>
          <w:rFonts w:ascii="Times New Roman" w:hAnsi="Times New Roman" w:cs="Times New Roman"/>
          <w:sz w:val="24"/>
          <w:szCs w:val="24"/>
        </w:rPr>
        <w:t xml:space="preserve">less than 80m². </w:t>
      </w:r>
    </w:p>
    <w:p w:rsidR="00210F16" w:rsidRPr="005D5251" w:rsidRDefault="00210F16"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15.3% of households in the Palestinian Territory are exposed very often to smells during 2009. Percentage of households exposed to smells is increasing where </w:t>
      </w:r>
      <w:r w:rsidRPr="005D5251">
        <w:rPr>
          <w:rFonts w:ascii="Times New Roman" w:hAnsi="Times New Roman" w:cs="Times New Roman"/>
          <w:sz w:val="24"/>
          <w:szCs w:val="24"/>
        </w:rPr>
        <w:lastRenderedPageBreak/>
        <w:t xml:space="preserve">percentages were 10.5% in 2006 and 11.1% in 2008. Sewage water was the main source of such smells. </w:t>
      </w:r>
    </w:p>
    <w:p w:rsidR="00210F16" w:rsidRPr="005D5251" w:rsidRDefault="00210F16" w:rsidP="005D5251">
      <w:pPr>
        <w:pStyle w:val="ListParagraph"/>
        <w:numPr>
          <w:ilvl w:val="0"/>
          <w:numId w:val="18"/>
        </w:numPr>
        <w:autoSpaceDE w:val="0"/>
        <w:autoSpaceDN w:val="0"/>
        <w:bidi w:val="0"/>
        <w:adjustRightInd w:val="0"/>
        <w:spacing w:after="0" w:line="240" w:lineRule="auto"/>
        <w:jc w:val="both"/>
        <w:rPr>
          <w:rFonts w:ascii="Times New Roman" w:hAnsi="Times New Roman" w:cs="Times New Roman"/>
          <w:sz w:val="24"/>
          <w:szCs w:val="24"/>
        </w:rPr>
      </w:pPr>
      <w:r w:rsidRPr="005D5251">
        <w:rPr>
          <w:rFonts w:ascii="Times New Roman" w:hAnsi="Times New Roman" w:cs="Times New Roman"/>
          <w:sz w:val="24"/>
          <w:szCs w:val="24"/>
        </w:rPr>
        <w:t xml:space="preserve">48.1% of the Palestinian households consider the water quality as good (72.2% in West Bank and 6.8% in Gaza Strip). </w:t>
      </w:r>
    </w:p>
    <w:p w:rsidR="00210F16" w:rsidRPr="00637A13" w:rsidRDefault="00210F16" w:rsidP="00637A13">
      <w:pPr>
        <w:pStyle w:val="ListParagraph"/>
        <w:numPr>
          <w:ilvl w:val="0"/>
          <w:numId w:val="18"/>
        </w:numPr>
        <w:autoSpaceDE w:val="0"/>
        <w:autoSpaceDN w:val="0"/>
        <w:bidi w:val="0"/>
        <w:adjustRightInd w:val="0"/>
        <w:spacing w:after="0" w:line="240" w:lineRule="auto"/>
        <w:jc w:val="both"/>
        <w:rPr>
          <w:rFonts w:ascii="Times New Roman" w:hAnsi="Times New Roman" w:cs="Times New Roman"/>
          <w:color w:val="FF0000"/>
          <w:sz w:val="24"/>
          <w:szCs w:val="24"/>
        </w:rPr>
      </w:pPr>
      <w:r w:rsidRPr="00637A13">
        <w:rPr>
          <w:rFonts w:ascii="Times New Roman" w:hAnsi="Times New Roman" w:cs="Times New Roman"/>
          <w:color w:val="FF0000"/>
          <w:sz w:val="24"/>
          <w:szCs w:val="24"/>
        </w:rPr>
        <w:t xml:space="preserve">The daily allocation per capita of the supplied water for domestic use in the Palestinian Territory was 135.8 (liter/capita/day) during 2008; consumption in Israel reached 350 liters/ capita /day. </w:t>
      </w:r>
    </w:p>
    <w:p w:rsidR="002957E2" w:rsidRDefault="009A0E6A" w:rsidP="009A0E6A">
      <w:pPr>
        <w:bidi w:val="0"/>
        <w:jc w:val="center"/>
        <w:rPr>
          <w:sz w:val="24"/>
          <w:szCs w:val="24"/>
        </w:rPr>
      </w:pPr>
      <w:r>
        <w:rPr>
          <w:sz w:val="24"/>
          <w:szCs w:val="24"/>
        </w:rPr>
        <w:t xml:space="preserve"> </w:t>
      </w:r>
    </w:p>
    <w:p w:rsidR="002957E2" w:rsidRDefault="002957E2">
      <w:pPr>
        <w:pStyle w:val="BodyText"/>
        <w:rPr>
          <w:b w:val="0"/>
          <w:bCs w:val="0"/>
          <w:szCs w:val="24"/>
        </w:rPr>
      </w:pPr>
    </w:p>
    <w:sectPr w:rsidR="002957E2" w:rsidSect="00DC7735">
      <w:footerReference w:type="default" r:id="rId9"/>
      <w:endnotePr>
        <w:numFmt w:val="lowerLetter"/>
      </w:endnotePr>
      <w:pgSz w:w="11907" w:h="16840" w:code="9"/>
      <w:pgMar w:top="1418" w:right="1418" w:bottom="1418" w:left="1418" w:header="720" w:footer="720" w:gutter="0"/>
      <w:pgNumType w:start="1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276" w:rsidRDefault="00747276">
      <w:r>
        <w:separator/>
      </w:r>
    </w:p>
  </w:endnote>
  <w:endnote w:type="continuationSeparator" w:id="0">
    <w:p w:rsidR="00747276" w:rsidRDefault="007472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C31" w:rsidRDefault="00D63C31">
    <w:pPr>
      <w:pStyle w:val="Footer"/>
      <w:framePr w:wrap="around" w:vAnchor="text" w:hAnchor="margin" w:xAlign="center" w:y="1"/>
      <w:rPr>
        <w:rStyle w:val="PageNumber"/>
        <w:rtl/>
      </w:rPr>
    </w:pPr>
  </w:p>
  <w:p w:rsidR="00D63C31" w:rsidRDefault="00D63C31">
    <w:pPr>
      <w:pStyle w:val="Footer"/>
      <w:bidi w:val="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276" w:rsidRDefault="00747276">
      <w:r>
        <w:separator/>
      </w:r>
    </w:p>
  </w:footnote>
  <w:footnote w:type="continuationSeparator" w:id="0">
    <w:p w:rsidR="00747276" w:rsidRDefault="007472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013F7F0F"/>
    <w:multiLevelType w:val="hybridMultilevel"/>
    <w:tmpl w:val="59047F92"/>
    <w:lvl w:ilvl="0" w:tplc="B56EB01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0F1D7E8A"/>
    <w:multiLevelType w:val="hybridMultilevel"/>
    <w:tmpl w:val="A446BE3A"/>
    <w:lvl w:ilvl="0" w:tplc="D2F0EF9E">
      <w:start w:val="1"/>
      <w:numFmt w:val="decimal"/>
      <w:lvlText w:val="%1."/>
      <w:lvlJc w:val="left"/>
      <w:pPr>
        <w:tabs>
          <w:tab w:val="num" w:pos="720"/>
        </w:tabs>
        <w:ind w:left="720" w:right="720" w:hanging="360"/>
      </w:pPr>
      <w:rPr>
        <w:rFonts w:hint="default"/>
        <w:b w:val="0"/>
        <w:bCs w:val="0"/>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372E20"/>
    <w:multiLevelType w:val="hybridMultilevel"/>
    <w:tmpl w:val="68F292A8"/>
    <w:lvl w:ilvl="0" w:tplc="B56EB01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696798B"/>
    <w:multiLevelType w:val="hybridMultilevel"/>
    <w:tmpl w:val="2A683D4C"/>
    <w:lvl w:ilvl="0" w:tplc="D2F0EF9E">
      <w:start w:val="1"/>
      <w:numFmt w:val="decimal"/>
      <w:lvlText w:val="%1."/>
      <w:lvlJc w:val="left"/>
      <w:pPr>
        <w:tabs>
          <w:tab w:val="num" w:pos="720"/>
        </w:tabs>
        <w:ind w:left="720" w:right="720" w:hanging="360"/>
      </w:pPr>
      <w:rPr>
        <w:rFonts w:hint="default"/>
        <w:b w:val="0"/>
        <w:bCs w:val="0"/>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D35081F"/>
    <w:multiLevelType w:val="hybridMultilevel"/>
    <w:tmpl w:val="9B8816F4"/>
    <w:lvl w:ilvl="0" w:tplc="D2F0EF9E">
      <w:start w:val="1"/>
      <w:numFmt w:val="decimal"/>
      <w:lvlText w:val="%1."/>
      <w:lvlJc w:val="left"/>
      <w:pPr>
        <w:tabs>
          <w:tab w:val="num" w:pos="720"/>
        </w:tabs>
        <w:ind w:left="720" w:right="720" w:hanging="360"/>
      </w:pPr>
      <w:rPr>
        <w:rFonts w:hint="default"/>
        <w:b w:val="0"/>
        <w:bCs w:val="0"/>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5">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681180"/>
    <w:multiLevelType w:val="hybridMultilevel"/>
    <w:tmpl w:val="7BA850AE"/>
    <w:lvl w:ilvl="0" w:tplc="6F301FDC">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79E111AD"/>
    <w:multiLevelType w:val="multilevel"/>
    <w:tmpl w:val="F8603714"/>
    <w:lvl w:ilvl="0">
      <w:start w:val="1"/>
      <w:numFmt w:val="bullet"/>
      <w:lvlText w:val=""/>
      <w:lvlJc w:val="left"/>
      <w:pPr>
        <w:tabs>
          <w:tab w:val="num" w:pos="360"/>
        </w:tabs>
        <w:ind w:left="340" w:right="340" w:hanging="340"/>
      </w:pPr>
      <w:rPr>
        <w:rFonts w:ascii="Symbol" w:hAnsi="Symbol"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7C0B7945"/>
    <w:multiLevelType w:val="hybridMultilevel"/>
    <w:tmpl w:val="24E4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4"/>
  </w:num>
  <w:num w:numId="11">
    <w:abstractNumId w:val="16"/>
  </w:num>
  <w:num w:numId="12">
    <w:abstractNumId w:val="11"/>
  </w:num>
  <w:num w:numId="13">
    <w:abstractNumId w:val="17"/>
  </w:num>
  <w:num w:numId="14">
    <w:abstractNumId w:val="10"/>
  </w:num>
  <w:num w:numId="15">
    <w:abstractNumId w:val="13"/>
  </w:num>
  <w:num w:numId="16">
    <w:abstractNumId w:val="9"/>
  </w:num>
  <w:num w:numId="17">
    <w:abstractNumId w:val="12"/>
  </w:num>
  <w:num w:numId="18">
    <w:abstractNumId w:val="15"/>
  </w:num>
  <w:num w:numId="19">
    <w:abstractNumId w:val="1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numFmt w:val="lowerLetter"/>
    <w:endnote w:id="-1"/>
    <w:endnote w:id="0"/>
  </w:endnotePr>
  <w:compat/>
  <w:rsids>
    <w:rsidRoot w:val="00962376"/>
    <w:rsid w:val="000130B7"/>
    <w:rsid w:val="000C439B"/>
    <w:rsid w:val="000D5AE8"/>
    <w:rsid w:val="000E18B4"/>
    <w:rsid w:val="00166479"/>
    <w:rsid w:val="001B685B"/>
    <w:rsid w:val="00210F16"/>
    <w:rsid w:val="002957E2"/>
    <w:rsid w:val="002E1333"/>
    <w:rsid w:val="00332FF1"/>
    <w:rsid w:val="00335B81"/>
    <w:rsid w:val="00523B0D"/>
    <w:rsid w:val="005B2B45"/>
    <w:rsid w:val="005D5251"/>
    <w:rsid w:val="00633E0D"/>
    <w:rsid w:val="00637A13"/>
    <w:rsid w:val="006D5879"/>
    <w:rsid w:val="00726BF2"/>
    <w:rsid w:val="00747276"/>
    <w:rsid w:val="007C0EAA"/>
    <w:rsid w:val="008501AB"/>
    <w:rsid w:val="008724EF"/>
    <w:rsid w:val="00894A5B"/>
    <w:rsid w:val="008A14FD"/>
    <w:rsid w:val="008A312D"/>
    <w:rsid w:val="008D42D0"/>
    <w:rsid w:val="00941FCC"/>
    <w:rsid w:val="00962376"/>
    <w:rsid w:val="009A0E6A"/>
    <w:rsid w:val="00A04BB2"/>
    <w:rsid w:val="00A1025E"/>
    <w:rsid w:val="00A83323"/>
    <w:rsid w:val="00B83F4B"/>
    <w:rsid w:val="00B951E6"/>
    <w:rsid w:val="00BA469E"/>
    <w:rsid w:val="00C10274"/>
    <w:rsid w:val="00C233C9"/>
    <w:rsid w:val="00C3092B"/>
    <w:rsid w:val="00D04589"/>
    <w:rsid w:val="00D15C2D"/>
    <w:rsid w:val="00D35017"/>
    <w:rsid w:val="00D63C31"/>
    <w:rsid w:val="00D87722"/>
    <w:rsid w:val="00DA3BD3"/>
    <w:rsid w:val="00DC7735"/>
    <w:rsid w:val="00DD2099"/>
    <w:rsid w:val="00DD4A62"/>
    <w:rsid w:val="00E261A3"/>
    <w:rsid w:val="00E42535"/>
    <w:rsid w:val="00F24625"/>
    <w:rsid w:val="00F65910"/>
    <w:rsid w:val="00FB6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35"/>
    <w:pPr>
      <w:bidi/>
    </w:pPr>
    <w:rPr>
      <w:rFonts w:cs="Times New Roman"/>
      <w:snapToGrid w:val="0"/>
    </w:rPr>
  </w:style>
  <w:style w:type="paragraph" w:styleId="Heading1">
    <w:name w:val="heading 1"/>
    <w:basedOn w:val="Normal"/>
    <w:next w:val="Normal"/>
    <w:qFormat/>
    <w:rsid w:val="00DC7735"/>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DC7735"/>
    <w:pPr>
      <w:keepNext/>
      <w:bidi w:val="0"/>
      <w:jc w:val="center"/>
      <w:outlineLvl w:val="1"/>
    </w:pPr>
    <w:rPr>
      <w:b/>
      <w:bCs/>
      <w:sz w:val="40"/>
    </w:rPr>
  </w:style>
  <w:style w:type="paragraph" w:styleId="Heading3">
    <w:name w:val="heading 3"/>
    <w:basedOn w:val="Normal"/>
    <w:next w:val="Normal"/>
    <w:qFormat/>
    <w:rsid w:val="00DC7735"/>
    <w:pPr>
      <w:keepNext/>
      <w:bidi w:val="0"/>
      <w:jc w:val="center"/>
      <w:outlineLvl w:val="2"/>
    </w:pPr>
    <w:rPr>
      <w:b/>
      <w:bCs/>
      <w:sz w:val="52"/>
    </w:rPr>
  </w:style>
  <w:style w:type="paragraph" w:styleId="Heading4">
    <w:name w:val="heading 4"/>
    <w:basedOn w:val="Normal"/>
    <w:next w:val="Normal"/>
    <w:qFormat/>
    <w:rsid w:val="00DC7735"/>
    <w:pPr>
      <w:keepNext/>
      <w:bidi w:val="0"/>
      <w:outlineLvl w:val="3"/>
    </w:pPr>
    <w:rPr>
      <w:rFonts w:cs="Simplified Arabic"/>
      <w:sz w:val="24"/>
    </w:rPr>
  </w:style>
  <w:style w:type="paragraph" w:styleId="Heading5">
    <w:name w:val="heading 5"/>
    <w:basedOn w:val="Normal"/>
    <w:next w:val="Normal"/>
    <w:qFormat/>
    <w:rsid w:val="00DC7735"/>
    <w:pPr>
      <w:keepNext/>
      <w:bidi w:val="0"/>
      <w:jc w:val="lowKashida"/>
      <w:outlineLvl w:val="4"/>
    </w:pPr>
    <w:rPr>
      <w:rFonts w:cs="Traditional Arabic"/>
      <w:b/>
      <w:bCs/>
      <w:sz w:val="24"/>
    </w:rPr>
  </w:style>
  <w:style w:type="paragraph" w:styleId="Heading6">
    <w:name w:val="heading 6"/>
    <w:basedOn w:val="Normal"/>
    <w:next w:val="Normal"/>
    <w:qFormat/>
    <w:rsid w:val="00DC7735"/>
    <w:pPr>
      <w:keepNext/>
      <w:widowControl w:val="0"/>
      <w:outlineLvl w:val="5"/>
    </w:pPr>
    <w:rPr>
      <w:b/>
      <w:bCs/>
      <w:sz w:val="24"/>
    </w:rPr>
  </w:style>
  <w:style w:type="paragraph" w:styleId="Heading7">
    <w:name w:val="heading 7"/>
    <w:basedOn w:val="Normal"/>
    <w:next w:val="Normal"/>
    <w:qFormat/>
    <w:rsid w:val="00DC7735"/>
    <w:pPr>
      <w:keepNext/>
      <w:bidi w:val="0"/>
      <w:jc w:val="center"/>
      <w:outlineLvl w:val="6"/>
    </w:pPr>
    <w:rPr>
      <w:rFonts w:cs="Traditional Arabic"/>
      <w:b/>
      <w:bCs/>
      <w:sz w:val="28"/>
    </w:rPr>
  </w:style>
  <w:style w:type="paragraph" w:styleId="Heading8">
    <w:name w:val="heading 8"/>
    <w:basedOn w:val="Normal"/>
    <w:next w:val="Normal"/>
    <w:qFormat/>
    <w:rsid w:val="00DC7735"/>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DC7735"/>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DC7735"/>
    <w:rPr>
      <w:rFonts w:cs="Traditional Arabic"/>
    </w:rPr>
  </w:style>
  <w:style w:type="paragraph" w:styleId="Footer">
    <w:name w:val="footer"/>
    <w:basedOn w:val="Normal"/>
    <w:semiHidden/>
    <w:rsid w:val="00DC7735"/>
    <w:pPr>
      <w:tabs>
        <w:tab w:val="center" w:pos="4153"/>
        <w:tab w:val="right" w:pos="8306"/>
      </w:tabs>
    </w:pPr>
  </w:style>
  <w:style w:type="paragraph" w:styleId="Header">
    <w:name w:val="header"/>
    <w:basedOn w:val="Normal"/>
    <w:semiHidden/>
    <w:rsid w:val="00DC7735"/>
    <w:pPr>
      <w:tabs>
        <w:tab w:val="center" w:pos="4320"/>
        <w:tab w:val="right" w:pos="8640"/>
      </w:tabs>
    </w:pPr>
  </w:style>
  <w:style w:type="paragraph" w:styleId="BodyText">
    <w:name w:val="Body Text"/>
    <w:basedOn w:val="Normal"/>
    <w:semiHidden/>
    <w:rsid w:val="00DC7735"/>
    <w:pPr>
      <w:widowControl w:val="0"/>
      <w:jc w:val="center"/>
    </w:pPr>
    <w:rPr>
      <w:b/>
      <w:bCs/>
      <w:sz w:val="24"/>
    </w:rPr>
  </w:style>
  <w:style w:type="character" w:styleId="Hyperlink">
    <w:name w:val="Hyperlink"/>
    <w:basedOn w:val="DefaultParagraphFont"/>
    <w:semiHidden/>
    <w:rsid w:val="00DC7735"/>
    <w:rPr>
      <w:rFonts w:cs="Traditional Arabic"/>
      <w:color w:val="0000FF"/>
      <w:u w:val="single"/>
    </w:rPr>
  </w:style>
  <w:style w:type="paragraph" w:styleId="Title">
    <w:name w:val="Title"/>
    <w:basedOn w:val="Normal"/>
    <w:qFormat/>
    <w:rsid w:val="00DC7735"/>
    <w:pPr>
      <w:jc w:val="center"/>
    </w:pPr>
    <w:rPr>
      <w:b/>
      <w:bCs/>
      <w:sz w:val="24"/>
    </w:rPr>
  </w:style>
  <w:style w:type="paragraph" w:styleId="BodyTextIndent">
    <w:name w:val="Body Text Indent"/>
    <w:basedOn w:val="Normal"/>
    <w:semiHidden/>
    <w:rsid w:val="00DC7735"/>
    <w:pPr>
      <w:bidi w:val="0"/>
      <w:jc w:val="lowKashida"/>
    </w:pPr>
    <w:rPr>
      <w:sz w:val="24"/>
    </w:rPr>
  </w:style>
  <w:style w:type="paragraph" w:styleId="BodyTextIndent2">
    <w:name w:val="Body Text Indent 2"/>
    <w:basedOn w:val="Normal"/>
    <w:semiHidden/>
    <w:rsid w:val="00DC7735"/>
    <w:pPr>
      <w:bidi w:val="0"/>
      <w:ind w:left="284"/>
      <w:jc w:val="lowKashida"/>
    </w:pPr>
    <w:rPr>
      <w:sz w:val="24"/>
    </w:rPr>
  </w:style>
  <w:style w:type="paragraph" w:styleId="ListBullet2">
    <w:name w:val="List Bullet 2"/>
    <w:basedOn w:val="Normal"/>
    <w:autoRedefine/>
    <w:semiHidden/>
    <w:rsid w:val="00DC7735"/>
    <w:pPr>
      <w:ind w:left="720" w:hanging="360"/>
    </w:pPr>
    <w:rPr>
      <w:rFonts w:cs="Traditional Arabic"/>
    </w:rPr>
  </w:style>
  <w:style w:type="paragraph" w:styleId="Caption">
    <w:name w:val="caption"/>
    <w:basedOn w:val="Normal"/>
    <w:next w:val="Normal"/>
    <w:qFormat/>
    <w:rsid w:val="00DC7735"/>
    <w:pPr>
      <w:bidi w:val="0"/>
      <w:jc w:val="center"/>
    </w:pPr>
    <w:rPr>
      <w:rFonts w:cs="Simplified Arabic"/>
      <w:b/>
      <w:bCs/>
      <w:sz w:val="28"/>
      <w:szCs w:val="28"/>
    </w:rPr>
  </w:style>
  <w:style w:type="character" w:styleId="FollowedHyperlink">
    <w:name w:val="FollowedHyperlink"/>
    <w:basedOn w:val="DefaultParagraphFont"/>
    <w:semiHidden/>
    <w:rsid w:val="00DC7735"/>
    <w:rPr>
      <w:color w:val="800080"/>
      <w:u w:val="single"/>
    </w:rPr>
  </w:style>
  <w:style w:type="paragraph" w:styleId="BodyText2">
    <w:name w:val="Body Text 2"/>
    <w:basedOn w:val="Normal"/>
    <w:semiHidden/>
    <w:rsid w:val="00DC7735"/>
    <w:pPr>
      <w:bidi w:val="0"/>
      <w:jc w:val="lowKashida"/>
    </w:pPr>
    <w:rPr>
      <w:b/>
      <w:bCs/>
      <w:sz w:val="24"/>
      <w:szCs w:val="28"/>
    </w:rPr>
  </w:style>
  <w:style w:type="paragraph" w:styleId="BodyText3">
    <w:name w:val="Body Text 3"/>
    <w:basedOn w:val="Normal"/>
    <w:semiHidden/>
    <w:rsid w:val="00DC7735"/>
    <w:pPr>
      <w:bidi w:val="0"/>
      <w:ind w:right="-1"/>
      <w:jc w:val="lowKashida"/>
    </w:pPr>
    <w:rPr>
      <w:rFonts w:cs="Traditional Arabic"/>
      <w:sz w:val="24"/>
    </w:rPr>
  </w:style>
  <w:style w:type="paragraph" w:styleId="Subtitle">
    <w:name w:val="Subtitle"/>
    <w:basedOn w:val="Normal"/>
    <w:qFormat/>
    <w:rsid w:val="00DC7735"/>
    <w:pPr>
      <w:bidi w:val="0"/>
      <w:jc w:val="lowKashida"/>
    </w:pPr>
    <w:rPr>
      <w:rFonts w:cs="Traditional Arabic"/>
      <w:b/>
      <w:bCs/>
      <w:sz w:val="24"/>
    </w:rPr>
  </w:style>
  <w:style w:type="paragraph" w:styleId="BlockText">
    <w:name w:val="Block Text"/>
    <w:basedOn w:val="Normal"/>
    <w:semiHidden/>
    <w:rsid w:val="00DC7735"/>
    <w:pPr>
      <w:spacing w:after="120"/>
      <w:ind w:left="1440" w:right="1440"/>
    </w:pPr>
  </w:style>
  <w:style w:type="paragraph" w:styleId="BodyTextFirstIndent">
    <w:name w:val="Body Text First Indent"/>
    <w:basedOn w:val="BodyText"/>
    <w:semiHidden/>
    <w:rsid w:val="00DC7735"/>
    <w:pPr>
      <w:widowControl/>
      <w:spacing w:after="120"/>
      <w:ind w:firstLine="210"/>
      <w:jc w:val="left"/>
    </w:pPr>
    <w:rPr>
      <w:b w:val="0"/>
      <w:bCs w:val="0"/>
      <w:sz w:val="20"/>
    </w:rPr>
  </w:style>
  <w:style w:type="paragraph" w:styleId="BodyTextFirstIndent2">
    <w:name w:val="Body Text First Indent 2"/>
    <w:basedOn w:val="BodyTextIndent"/>
    <w:semiHidden/>
    <w:rsid w:val="00DC7735"/>
    <w:pPr>
      <w:bidi/>
      <w:spacing w:after="120"/>
      <w:ind w:left="360" w:firstLine="210"/>
      <w:jc w:val="left"/>
    </w:pPr>
    <w:rPr>
      <w:sz w:val="20"/>
    </w:rPr>
  </w:style>
  <w:style w:type="paragraph" w:styleId="BodyTextIndent3">
    <w:name w:val="Body Text Indent 3"/>
    <w:basedOn w:val="Normal"/>
    <w:semiHidden/>
    <w:rsid w:val="00DC7735"/>
    <w:pPr>
      <w:spacing w:after="120"/>
      <w:ind w:left="360"/>
    </w:pPr>
    <w:rPr>
      <w:sz w:val="16"/>
      <w:szCs w:val="16"/>
    </w:rPr>
  </w:style>
  <w:style w:type="paragraph" w:styleId="Closing">
    <w:name w:val="Closing"/>
    <w:basedOn w:val="Normal"/>
    <w:semiHidden/>
    <w:rsid w:val="00DC7735"/>
    <w:pPr>
      <w:ind w:left="4320"/>
    </w:pPr>
  </w:style>
  <w:style w:type="paragraph" w:styleId="CommentText">
    <w:name w:val="annotation text"/>
    <w:basedOn w:val="Normal"/>
    <w:semiHidden/>
    <w:rsid w:val="00DC7735"/>
  </w:style>
  <w:style w:type="paragraph" w:styleId="Date">
    <w:name w:val="Date"/>
    <w:basedOn w:val="Normal"/>
    <w:next w:val="Normal"/>
    <w:semiHidden/>
    <w:rsid w:val="00DC7735"/>
  </w:style>
  <w:style w:type="paragraph" w:styleId="DocumentMap">
    <w:name w:val="Document Map"/>
    <w:basedOn w:val="Normal"/>
    <w:semiHidden/>
    <w:rsid w:val="00DC7735"/>
    <w:pPr>
      <w:shd w:val="clear" w:color="auto" w:fill="000080"/>
    </w:pPr>
    <w:rPr>
      <w:rFonts w:ascii="Tahoma" w:hAnsi="Tahoma" w:cs="Tahoma"/>
    </w:rPr>
  </w:style>
  <w:style w:type="paragraph" w:styleId="E-mailSignature">
    <w:name w:val="E-mail Signature"/>
    <w:basedOn w:val="Normal"/>
    <w:semiHidden/>
    <w:rsid w:val="00DC7735"/>
  </w:style>
  <w:style w:type="paragraph" w:styleId="EndnoteText">
    <w:name w:val="endnote text"/>
    <w:basedOn w:val="Normal"/>
    <w:semiHidden/>
    <w:rsid w:val="00DC7735"/>
  </w:style>
  <w:style w:type="paragraph" w:styleId="EnvelopeAddress">
    <w:name w:val="envelope address"/>
    <w:basedOn w:val="Normal"/>
    <w:semiHidden/>
    <w:rsid w:val="00DC773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DC7735"/>
    <w:rPr>
      <w:rFonts w:ascii="Arial" w:hAnsi="Arial" w:cs="Arial"/>
    </w:rPr>
  </w:style>
  <w:style w:type="paragraph" w:styleId="FootnoteText">
    <w:name w:val="footnote text"/>
    <w:basedOn w:val="Normal"/>
    <w:semiHidden/>
    <w:rsid w:val="00DC7735"/>
  </w:style>
  <w:style w:type="paragraph" w:styleId="HTMLAddress">
    <w:name w:val="HTML Address"/>
    <w:basedOn w:val="Normal"/>
    <w:semiHidden/>
    <w:rsid w:val="00DC7735"/>
    <w:rPr>
      <w:i/>
      <w:iCs/>
    </w:rPr>
  </w:style>
  <w:style w:type="paragraph" w:styleId="HTMLPreformatted">
    <w:name w:val="HTML Preformatted"/>
    <w:basedOn w:val="Normal"/>
    <w:semiHidden/>
    <w:rsid w:val="00DC7735"/>
    <w:rPr>
      <w:rFonts w:ascii="Courier New" w:hAnsi="Courier New" w:cs="Courier New"/>
    </w:rPr>
  </w:style>
  <w:style w:type="paragraph" w:styleId="Index1">
    <w:name w:val="index 1"/>
    <w:basedOn w:val="Normal"/>
    <w:next w:val="Normal"/>
    <w:autoRedefine/>
    <w:semiHidden/>
    <w:rsid w:val="00DC7735"/>
    <w:pPr>
      <w:ind w:left="200" w:hanging="200"/>
    </w:pPr>
  </w:style>
  <w:style w:type="paragraph" w:styleId="Index2">
    <w:name w:val="index 2"/>
    <w:basedOn w:val="Normal"/>
    <w:next w:val="Normal"/>
    <w:autoRedefine/>
    <w:semiHidden/>
    <w:rsid w:val="00DC7735"/>
    <w:pPr>
      <w:ind w:left="400" w:hanging="200"/>
    </w:pPr>
  </w:style>
  <w:style w:type="paragraph" w:styleId="Index3">
    <w:name w:val="index 3"/>
    <w:basedOn w:val="Normal"/>
    <w:next w:val="Normal"/>
    <w:autoRedefine/>
    <w:semiHidden/>
    <w:rsid w:val="00DC7735"/>
    <w:pPr>
      <w:ind w:left="600" w:hanging="200"/>
    </w:pPr>
  </w:style>
  <w:style w:type="paragraph" w:styleId="Index4">
    <w:name w:val="index 4"/>
    <w:basedOn w:val="Normal"/>
    <w:next w:val="Normal"/>
    <w:autoRedefine/>
    <w:semiHidden/>
    <w:rsid w:val="00DC7735"/>
    <w:pPr>
      <w:ind w:left="800" w:hanging="200"/>
    </w:pPr>
  </w:style>
  <w:style w:type="paragraph" w:styleId="Index5">
    <w:name w:val="index 5"/>
    <w:basedOn w:val="Normal"/>
    <w:next w:val="Normal"/>
    <w:autoRedefine/>
    <w:semiHidden/>
    <w:rsid w:val="00DC7735"/>
    <w:pPr>
      <w:ind w:left="1000" w:hanging="200"/>
    </w:pPr>
  </w:style>
  <w:style w:type="paragraph" w:styleId="Index6">
    <w:name w:val="index 6"/>
    <w:basedOn w:val="Normal"/>
    <w:next w:val="Normal"/>
    <w:autoRedefine/>
    <w:semiHidden/>
    <w:rsid w:val="00DC7735"/>
    <w:pPr>
      <w:ind w:left="1200" w:hanging="200"/>
    </w:pPr>
  </w:style>
  <w:style w:type="paragraph" w:styleId="Index7">
    <w:name w:val="index 7"/>
    <w:basedOn w:val="Normal"/>
    <w:next w:val="Normal"/>
    <w:autoRedefine/>
    <w:semiHidden/>
    <w:rsid w:val="00DC7735"/>
    <w:pPr>
      <w:ind w:left="1400" w:hanging="200"/>
    </w:pPr>
  </w:style>
  <w:style w:type="paragraph" w:styleId="Index8">
    <w:name w:val="index 8"/>
    <w:basedOn w:val="Normal"/>
    <w:next w:val="Normal"/>
    <w:autoRedefine/>
    <w:semiHidden/>
    <w:rsid w:val="00DC7735"/>
    <w:pPr>
      <w:ind w:left="1600" w:hanging="200"/>
    </w:pPr>
  </w:style>
  <w:style w:type="paragraph" w:styleId="Index9">
    <w:name w:val="index 9"/>
    <w:basedOn w:val="Normal"/>
    <w:next w:val="Normal"/>
    <w:autoRedefine/>
    <w:semiHidden/>
    <w:rsid w:val="00DC7735"/>
    <w:pPr>
      <w:ind w:left="1800" w:hanging="200"/>
    </w:pPr>
  </w:style>
  <w:style w:type="paragraph" w:styleId="IndexHeading">
    <w:name w:val="index heading"/>
    <w:basedOn w:val="Normal"/>
    <w:next w:val="Index1"/>
    <w:semiHidden/>
    <w:rsid w:val="00DC7735"/>
    <w:rPr>
      <w:rFonts w:ascii="Arial" w:hAnsi="Arial" w:cs="Arial"/>
      <w:b/>
      <w:bCs/>
    </w:rPr>
  </w:style>
  <w:style w:type="paragraph" w:styleId="List">
    <w:name w:val="List"/>
    <w:basedOn w:val="Normal"/>
    <w:semiHidden/>
    <w:rsid w:val="00DC7735"/>
    <w:pPr>
      <w:ind w:left="360" w:hanging="360"/>
    </w:pPr>
  </w:style>
  <w:style w:type="paragraph" w:styleId="List2">
    <w:name w:val="List 2"/>
    <w:basedOn w:val="Normal"/>
    <w:semiHidden/>
    <w:rsid w:val="00DC7735"/>
    <w:pPr>
      <w:ind w:left="720" w:hanging="360"/>
    </w:pPr>
  </w:style>
  <w:style w:type="paragraph" w:styleId="List3">
    <w:name w:val="List 3"/>
    <w:basedOn w:val="Normal"/>
    <w:semiHidden/>
    <w:rsid w:val="00DC7735"/>
    <w:pPr>
      <w:ind w:left="1080" w:hanging="360"/>
    </w:pPr>
  </w:style>
  <w:style w:type="paragraph" w:styleId="List4">
    <w:name w:val="List 4"/>
    <w:basedOn w:val="Normal"/>
    <w:semiHidden/>
    <w:rsid w:val="00DC7735"/>
    <w:pPr>
      <w:ind w:left="1440" w:hanging="360"/>
    </w:pPr>
  </w:style>
  <w:style w:type="paragraph" w:styleId="List5">
    <w:name w:val="List 5"/>
    <w:basedOn w:val="Normal"/>
    <w:semiHidden/>
    <w:rsid w:val="00DC7735"/>
    <w:pPr>
      <w:ind w:left="1800" w:hanging="360"/>
    </w:pPr>
  </w:style>
  <w:style w:type="paragraph" w:styleId="ListBullet">
    <w:name w:val="List Bullet"/>
    <w:basedOn w:val="Normal"/>
    <w:autoRedefine/>
    <w:semiHidden/>
    <w:rsid w:val="00DC7735"/>
    <w:pPr>
      <w:numPr>
        <w:numId w:val="1"/>
      </w:numPr>
      <w:ind w:right="0"/>
    </w:pPr>
  </w:style>
  <w:style w:type="paragraph" w:styleId="ListBullet3">
    <w:name w:val="List Bullet 3"/>
    <w:basedOn w:val="Normal"/>
    <w:autoRedefine/>
    <w:semiHidden/>
    <w:rsid w:val="00DC7735"/>
    <w:pPr>
      <w:numPr>
        <w:numId w:val="2"/>
      </w:numPr>
      <w:ind w:right="0"/>
    </w:pPr>
  </w:style>
  <w:style w:type="paragraph" w:styleId="ListBullet4">
    <w:name w:val="List Bullet 4"/>
    <w:basedOn w:val="Normal"/>
    <w:autoRedefine/>
    <w:semiHidden/>
    <w:rsid w:val="00DC7735"/>
    <w:pPr>
      <w:numPr>
        <w:numId w:val="3"/>
      </w:numPr>
      <w:ind w:right="0"/>
    </w:pPr>
  </w:style>
  <w:style w:type="paragraph" w:styleId="ListBullet5">
    <w:name w:val="List Bullet 5"/>
    <w:basedOn w:val="Normal"/>
    <w:autoRedefine/>
    <w:semiHidden/>
    <w:rsid w:val="00DC7735"/>
    <w:pPr>
      <w:numPr>
        <w:numId w:val="4"/>
      </w:numPr>
      <w:ind w:right="0"/>
    </w:pPr>
  </w:style>
  <w:style w:type="paragraph" w:styleId="ListContinue">
    <w:name w:val="List Continue"/>
    <w:basedOn w:val="Normal"/>
    <w:semiHidden/>
    <w:rsid w:val="00DC7735"/>
    <w:pPr>
      <w:spacing w:after="120"/>
      <w:ind w:left="360"/>
    </w:pPr>
  </w:style>
  <w:style w:type="paragraph" w:styleId="ListContinue2">
    <w:name w:val="List Continue 2"/>
    <w:basedOn w:val="Normal"/>
    <w:semiHidden/>
    <w:rsid w:val="00DC7735"/>
    <w:pPr>
      <w:spacing w:after="120"/>
      <w:ind w:left="720"/>
    </w:pPr>
  </w:style>
  <w:style w:type="paragraph" w:styleId="ListContinue3">
    <w:name w:val="List Continue 3"/>
    <w:basedOn w:val="Normal"/>
    <w:semiHidden/>
    <w:rsid w:val="00DC7735"/>
    <w:pPr>
      <w:spacing w:after="120"/>
      <w:ind w:left="1080"/>
    </w:pPr>
  </w:style>
  <w:style w:type="paragraph" w:styleId="ListContinue4">
    <w:name w:val="List Continue 4"/>
    <w:basedOn w:val="Normal"/>
    <w:semiHidden/>
    <w:rsid w:val="00DC7735"/>
    <w:pPr>
      <w:spacing w:after="120"/>
      <w:ind w:left="1440"/>
    </w:pPr>
  </w:style>
  <w:style w:type="paragraph" w:styleId="ListContinue5">
    <w:name w:val="List Continue 5"/>
    <w:basedOn w:val="Normal"/>
    <w:semiHidden/>
    <w:rsid w:val="00DC7735"/>
    <w:pPr>
      <w:spacing w:after="120"/>
      <w:ind w:left="1800"/>
    </w:pPr>
  </w:style>
  <w:style w:type="paragraph" w:styleId="ListNumber">
    <w:name w:val="List Number"/>
    <w:basedOn w:val="Normal"/>
    <w:semiHidden/>
    <w:rsid w:val="00DC7735"/>
    <w:pPr>
      <w:numPr>
        <w:numId w:val="5"/>
      </w:numPr>
      <w:ind w:right="0"/>
    </w:pPr>
  </w:style>
  <w:style w:type="paragraph" w:styleId="ListNumber2">
    <w:name w:val="List Number 2"/>
    <w:basedOn w:val="Normal"/>
    <w:semiHidden/>
    <w:rsid w:val="00DC7735"/>
    <w:pPr>
      <w:numPr>
        <w:numId w:val="6"/>
      </w:numPr>
      <w:ind w:right="0"/>
    </w:pPr>
  </w:style>
  <w:style w:type="paragraph" w:styleId="ListNumber3">
    <w:name w:val="List Number 3"/>
    <w:basedOn w:val="Normal"/>
    <w:semiHidden/>
    <w:rsid w:val="00DC7735"/>
    <w:pPr>
      <w:numPr>
        <w:numId w:val="7"/>
      </w:numPr>
      <w:ind w:right="0"/>
    </w:pPr>
  </w:style>
  <w:style w:type="paragraph" w:styleId="ListNumber4">
    <w:name w:val="List Number 4"/>
    <w:basedOn w:val="Normal"/>
    <w:semiHidden/>
    <w:rsid w:val="00DC7735"/>
    <w:pPr>
      <w:numPr>
        <w:numId w:val="8"/>
      </w:numPr>
      <w:ind w:right="0"/>
    </w:pPr>
  </w:style>
  <w:style w:type="paragraph" w:styleId="ListNumber5">
    <w:name w:val="List Number 5"/>
    <w:basedOn w:val="Normal"/>
    <w:semiHidden/>
    <w:rsid w:val="00DC7735"/>
    <w:pPr>
      <w:numPr>
        <w:numId w:val="9"/>
      </w:numPr>
      <w:ind w:right="0"/>
    </w:pPr>
  </w:style>
  <w:style w:type="paragraph" w:styleId="MacroText">
    <w:name w:val="macro"/>
    <w:semiHidden/>
    <w:rsid w:val="00DC7735"/>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DC773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DC7735"/>
    <w:rPr>
      <w:sz w:val="24"/>
      <w:szCs w:val="24"/>
    </w:rPr>
  </w:style>
  <w:style w:type="paragraph" w:styleId="NormalIndent">
    <w:name w:val="Normal Indent"/>
    <w:basedOn w:val="Normal"/>
    <w:semiHidden/>
    <w:rsid w:val="00DC7735"/>
    <w:pPr>
      <w:ind w:left="720"/>
    </w:pPr>
  </w:style>
  <w:style w:type="paragraph" w:styleId="NoteHeading">
    <w:name w:val="Note Heading"/>
    <w:basedOn w:val="Normal"/>
    <w:next w:val="Normal"/>
    <w:semiHidden/>
    <w:rsid w:val="00DC7735"/>
  </w:style>
  <w:style w:type="paragraph" w:styleId="PlainText">
    <w:name w:val="Plain Text"/>
    <w:basedOn w:val="Normal"/>
    <w:semiHidden/>
    <w:rsid w:val="00DC7735"/>
    <w:rPr>
      <w:rFonts w:ascii="Courier New" w:hAnsi="Courier New" w:cs="Courier New"/>
    </w:rPr>
  </w:style>
  <w:style w:type="paragraph" w:styleId="Salutation">
    <w:name w:val="Salutation"/>
    <w:basedOn w:val="Normal"/>
    <w:next w:val="Normal"/>
    <w:semiHidden/>
    <w:rsid w:val="00DC7735"/>
  </w:style>
  <w:style w:type="paragraph" w:styleId="Signature">
    <w:name w:val="Signature"/>
    <w:basedOn w:val="Normal"/>
    <w:semiHidden/>
    <w:rsid w:val="00DC7735"/>
    <w:pPr>
      <w:ind w:left="4320"/>
    </w:pPr>
  </w:style>
  <w:style w:type="paragraph" w:styleId="TableofAuthorities">
    <w:name w:val="table of authorities"/>
    <w:basedOn w:val="Normal"/>
    <w:next w:val="Normal"/>
    <w:semiHidden/>
    <w:rsid w:val="00DC7735"/>
    <w:pPr>
      <w:ind w:left="200" w:hanging="200"/>
    </w:pPr>
  </w:style>
  <w:style w:type="paragraph" w:styleId="TableofFigures">
    <w:name w:val="table of figures"/>
    <w:basedOn w:val="Normal"/>
    <w:next w:val="Normal"/>
    <w:semiHidden/>
    <w:rsid w:val="00DC7735"/>
    <w:pPr>
      <w:ind w:left="400" w:hanging="400"/>
    </w:pPr>
  </w:style>
  <w:style w:type="paragraph" w:styleId="TOAHeading">
    <w:name w:val="toa heading"/>
    <w:basedOn w:val="Normal"/>
    <w:next w:val="Normal"/>
    <w:semiHidden/>
    <w:rsid w:val="00DC7735"/>
    <w:pPr>
      <w:spacing w:before="120"/>
    </w:pPr>
    <w:rPr>
      <w:rFonts w:ascii="Arial" w:hAnsi="Arial" w:cs="Arial"/>
      <w:b/>
      <w:bCs/>
      <w:sz w:val="24"/>
      <w:szCs w:val="24"/>
    </w:rPr>
  </w:style>
  <w:style w:type="paragraph" w:styleId="TOC1">
    <w:name w:val="toc 1"/>
    <w:basedOn w:val="Normal"/>
    <w:next w:val="Normal"/>
    <w:autoRedefine/>
    <w:semiHidden/>
    <w:rsid w:val="00DC7735"/>
  </w:style>
  <w:style w:type="paragraph" w:styleId="TOC2">
    <w:name w:val="toc 2"/>
    <w:basedOn w:val="Normal"/>
    <w:next w:val="Normal"/>
    <w:autoRedefine/>
    <w:semiHidden/>
    <w:rsid w:val="00DC7735"/>
    <w:pPr>
      <w:ind w:left="200"/>
    </w:pPr>
  </w:style>
  <w:style w:type="paragraph" w:styleId="TOC3">
    <w:name w:val="toc 3"/>
    <w:basedOn w:val="Normal"/>
    <w:next w:val="Normal"/>
    <w:autoRedefine/>
    <w:semiHidden/>
    <w:rsid w:val="00DC7735"/>
    <w:pPr>
      <w:ind w:left="400"/>
    </w:pPr>
  </w:style>
  <w:style w:type="paragraph" w:styleId="TOC4">
    <w:name w:val="toc 4"/>
    <w:basedOn w:val="Normal"/>
    <w:next w:val="Normal"/>
    <w:autoRedefine/>
    <w:semiHidden/>
    <w:rsid w:val="00DC7735"/>
    <w:pPr>
      <w:ind w:left="600"/>
    </w:pPr>
  </w:style>
  <w:style w:type="paragraph" w:styleId="TOC5">
    <w:name w:val="toc 5"/>
    <w:basedOn w:val="Normal"/>
    <w:next w:val="Normal"/>
    <w:autoRedefine/>
    <w:semiHidden/>
    <w:rsid w:val="00DC7735"/>
    <w:pPr>
      <w:ind w:left="800"/>
    </w:pPr>
  </w:style>
  <w:style w:type="paragraph" w:styleId="TOC6">
    <w:name w:val="toc 6"/>
    <w:basedOn w:val="Normal"/>
    <w:next w:val="Normal"/>
    <w:autoRedefine/>
    <w:semiHidden/>
    <w:rsid w:val="00DC7735"/>
    <w:pPr>
      <w:ind w:left="1000"/>
    </w:pPr>
  </w:style>
  <w:style w:type="paragraph" w:styleId="TOC7">
    <w:name w:val="toc 7"/>
    <w:basedOn w:val="Normal"/>
    <w:next w:val="Normal"/>
    <w:autoRedefine/>
    <w:semiHidden/>
    <w:rsid w:val="00DC7735"/>
    <w:pPr>
      <w:ind w:left="1200"/>
    </w:pPr>
  </w:style>
  <w:style w:type="paragraph" w:styleId="TOC8">
    <w:name w:val="toc 8"/>
    <w:basedOn w:val="Normal"/>
    <w:next w:val="Normal"/>
    <w:autoRedefine/>
    <w:semiHidden/>
    <w:rsid w:val="00DC7735"/>
    <w:pPr>
      <w:ind w:left="1400"/>
    </w:pPr>
  </w:style>
  <w:style w:type="paragraph" w:styleId="TOC9">
    <w:name w:val="toc 9"/>
    <w:basedOn w:val="Normal"/>
    <w:next w:val="Normal"/>
    <w:autoRedefine/>
    <w:semiHidden/>
    <w:rsid w:val="00DC7735"/>
    <w:pPr>
      <w:ind w:left="1600"/>
    </w:pPr>
  </w:style>
  <w:style w:type="character" w:styleId="FootnoteReference">
    <w:name w:val="footnote reference"/>
    <w:basedOn w:val="DefaultParagraphFont"/>
    <w:semiHidden/>
    <w:rsid w:val="00DC7735"/>
    <w:rPr>
      <w:vertAlign w:val="superscript"/>
    </w:rPr>
  </w:style>
  <w:style w:type="paragraph" w:customStyle="1" w:styleId="xl27">
    <w:name w:val="xl27"/>
    <w:basedOn w:val="Normal"/>
    <w:rsid w:val="00DC7735"/>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napToGrid/>
      <w:sz w:val="24"/>
      <w:szCs w:val="24"/>
    </w:rPr>
  </w:style>
  <w:style w:type="character" w:customStyle="1" w:styleId="shorttext1">
    <w:name w:val="short_text1"/>
    <w:basedOn w:val="DefaultParagraphFont"/>
    <w:rsid w:val="00DC7735"/>
    <w:rPr>
      <w:spacing w:val="324"/>
      <w:sz w:val="29"/>
      <w:szCs w:val="29"/>
    </w:rPr>
  </w:style>
  <w:style w:type="character" w:customStyle="1" w:styleId="mediumtext1">
    <w:name w:val="medium_text1"/>
    <w:basedOn w:val="DefaultParagraphFont"/>
    <w:rsid w:val="00DC7735"/>
    <w:rPr>
      <w:spacing w:val="360"/>
      <w:sz w:val="28"/>
      <w:szCs w:val="28"/>
    </w:rPr>
  </w:style>
  <w:style w:type="character" w:customStyle="1" w:styleId="longtext1">
    <w:name w:val="long_text1"/>
    <w:basedOn w:val="DefaultParagraphFont"/>
    <w:rsid w:val="00DC7735"/>
    <w:rPr>
      <w:spacing w:val="408"/>
      <w:sz w:val="20"/>
      <w:szCs w:val="20"/>
    </w:rPr>
  </w:style>
  <w:style w:type="character" w:customStyle="1" w:styleId="shorttext">
    <w:name w:val="short_text"/>
    <w:basedOn w:val="DefaultParagraphFont"/>
    <w:rsid w:val="00DC7735"/>
  </w:style>
  <w:style w:type="paragraph" w:customStyle="1" w:styleId="xl24">
    <w:name w:val="xl24"/>
    <w:basedOn w:val="Normal"/>
    <w:rsid w:val="00DC7735"/>
    <w:pPr>
      <w:bidi w:val="0"/>
      <w:spacing w:before="100" w:beforeAutospacing="1" w:after="100" w:afterAutospacing="1"/>
      <w:jc w:val="right"/>
    </w:pPr>
    <w:rPr>
      <w:rFonts w:ascii="Arial" w:eastAsia="Arial Unicode MS" w:hAnsi="Arial" w:cs="Arial"/>
      <w:snapToGrid/>
      <w:sz w:val="18"/>
      <w:szCs w:val="18"/>
      <w:lang w:eastAsia="ar-SA"/>
    </w:rPr>
  </w:style>
  <w:style w:type="paragraph" w:customStyle="1" w:styleId="xl31">
    <w:name w:val="xl31"/>
    <w:basedOn w:val="Normal"/>
    <w:rsid w:val="00DC7735"/>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napToGrid/>
      <w:sz w:val="18"/>
      <w:szCs w:val="18"/>
      <w:lang w:eastAsia="ar-SA"/>
    </w:rPr>
  </w:style>
  <w:style w:type="paragraph" w:customStyle="1" w:styleId="xl37">
    <w:name w:val="xl37"/>
    <w:basedOn w:val="Normal"/>
    <w:rsid w:val="00DC7735"/>
    <w:pPr>
      <w:pBdr>
        <w:left w:val="single" w:sz="4" w:space="0" w:color="auto"/>
        <w:right w:val="single" w:sz="4" w:space="0" w:color="auto"/>
      </w:pBdr>
      <w:bidi w:val="0"/>
      <w:spacing w:before="100" w:beforeAutospacing="1" w:after="100" w:afterAutospacing="1"/>
    </w:pPr>
    <w:rPr>
      <w:rFonts w:ascii="Arial" w:hAnsi="Arial" w:cs="Arial"/>
      <w:b/>
      <w:bCs/>
      <w:snapToGrid/>
      <w:sz w:val="18"/>
      <w:szCs w:val="18"/>
      <w:lang w:eastAsia="ar-SA"/>
    </w:rPr>
  </w:style>
  <w:style w:type="paragraph" w:customStyle="1" w:styleId="xl28">
    <w:name w:val="xl28"/>
    <w:basedOn w:val="Normal"/>
    <w:rsid w:val="00DC7735"/>
    <w:pPr>
      <w:pBdr>
        <w:right w:val="single" w:sz="4" w:space="0" w:color="auto"/>
      </w:pBdr>
      <w:bidi w:val="0"/>
      <w:spacing w:before="100" w:beforeAutospacing="1" w:after="100" w:afterAutospacing="1"/>
      <w:jc w:val="center"/>
    </w:pPr>
    <w:rPr>
      <w:rFonts w:ascii="Arial" w:hAnsi="Arial" w:cs="Arial"/>
      <w:b/>
      <w:bCs/>
      <w:snapToGrid/>
      <w:sz w:val="18"/>
      <w:szCs w:val="18"/>
      <w:lang w:eastAsia="ar-SA"/>
    </w:rPr>
  </w:style>
  <w:style w:type="paragraph" w:customStyle="1" w:styleId="xl40">
    <w:name w:val="xl40"/>
    <w:basedOn w:val="Normal"/>
    <w:rsid w:val="00DC7735"/>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napToGrid/>
      <w:sz w:val="18"/>
      <w:szCs w:val="18"/>
      <w:lang w:eastAsia="ar-SA"/>
    </w:rPr>
  </w:style>
  <w:style w:type="character" w:customStyle="1" w:styleId="longtext">
    <w:name w:val="long_text"/>
    <w:basedOn w:val="DefaultParagraphFont"/>
    <w:rsid w:val="00DC7735"/>
  </w:style>
  <w:style w:type="paragraph" w:styleId="ListParagraph">
    <w:name w:val="List Paragraph"/>
    <w:basedOn w:val="Normal"/>
    <w:uiPriority w:val="34"/>
    <w:qFormat/>
    <w:rsid w:val="00DD2099"/>
    <w:pPr>
      <w:spacing w:after="200" w:line="276" w:lineRule="auto"/>
      <w:ind w:left="720"/>
      <w:contextualSpacing/>
    </w:pPr>
    <w:rPr>
      <w:rFonts w:asciiTheme="minorHAnsi" w:eastAsiaTheme="minorHAnsi" w:hAnsiTheme="minorHAnsi" w:cstheme="minorBidi"/>
      <w:snapToGrid/>
      <w:sz w:val="22"/>
      <w:szCs w:val="22"/>
    </w:rPr>
  </w:style>
  <w:style w:type="paragraph" w:styleId="BalloonText">
    <w:name w:val="Balloon Text"/>
    <w:basedOn w:val="Normal"/>
    <w:link w:val="BalloonTextChar"/>
    <w:uiPriority w:val="99"/>
    <w:semiHidden/>
    <w:unhideWhenUsed/>
    <w:rsid w:val="00F24625"/>
    <w:rPr>
      <w:rFonts w:ascii="Tahoma" w:hAnsi="Tahoma" w:cs="Tahoma"/>
      <w:sz w:val="16"/>
      <w:szCs w:val="16"/>
    </w:rPr>
  </w:style>
  <w:style w:type="character" w:customStyle="1" w:styleId="BalloonTextChar">
    <w:name w:val="Balloon Text Char"/>
    <w:basedOn w:val="DefaultParagraphFont"/>
    <w:link w:val="BalloonText"/>
    <w:uiPriority w:val="99"/>
    <w:semiHidden/>
    <w:rsid w:val="00F24625"/>
    <w:rPr>
      <w:rFonts w:ascii="Tahoma" w:hAnsi="Tahoma" w:cs="Tahoma"/>
      <w:snapToGrid w:val="0"/>
      <w:sz w:val="16"/>
      <w:szCs w:val="16"/>
    </w:rPr>
  </w:style>
</w:styles>
</file>

<file path=word/webSettings.xml><?xml version="1.0" encoding="utf-8"?>
<w:webSettings xmlns:r="http://schemas.openxmlformats.org/officeDocument/2006/relationships" xmlns:w="http://schemas.openxmlformats.org/wordprocessingml/2006/main">
  <w:divs>
    <w:div w:id="346905487">
      <w:bodyDiv w:val="1"/>
      <w:marLeft w:val="0"/>
      <w:marRight w:val="0"/>
      <w:marTop w:val="0"/>
      <w:marBottom w:val="0"/>
      <w:divBdr>
        <w:top w:val="none" w:sz="0" w:space="0" w:color="auto"/>
        <w:left w:val="none" w:sz="0" w:space="0" w:color="auto"/>
        <w:bottom w:val="none" w:sz="0" w:space="0" w:color="auto"/>
        <w:right w:val="none" w:sz="0" w:space="0" w:color="auto"/>
      </w:divBdr>
    </w:div>
    <w:div w:id="473447620">
      <w:bodyDiv w:val="1"/>
      <w:marLeft w:val="0"/>
      <w:marRight w:val="0"/>
      <w:marTop w:val="0"/>
      <w:marBottom w:val="0"/>
      <w:divBdr>
        <w:top w:val="none" w:sz="0" w:space="0" w:color="auto"/>
        <w:left w:val="none" w:sz="0" w:space="0" w:color="auto"/>
        <w:bottom w:val="none" w:sz="0" w:space="0" w:color="auto"/>
        <w:right w:val="none" w:sz="0" w:space="0" w:color="auto"/>
      </w:divBdr>
    </w:div>
    <w:div w:id="168856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D451-2EB7-488F-80A9-C09DE8CA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7</Pages>
  <Words>2331</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14429</CharactersWithSpaces>
  <SharedDoc>false</SharedDoc>
  <HLinks>
    <vt:vector size="12" baseType="variant">
      <vt:variant>
        <vt:i4>4325392</vt:i4>
      </vt:variant>
      <vt:variant>
        <vt:i4>3</vt:i4>
      </vt:variant>
      <vt:variant>
        <vt:i4>0</vt:i4>
      </vt:variant>
      <vt:variant>
        <vt:i4>5</vt:i4>
      </vt:variant>
      <vt:variant>
        <vt:lpwstr>http://www.google.ps/dictionary?source=translation&amp;hl=ar&amp;q=&amp;langpair=</vt:lpwstr>
      </vt:variant>
      <vt:variant>
        <vt:lpwstr/>
      </vt:variant>
      <vt:variant>
        <vt:i4>1836615</vt:i4>
      </vt:variant>
      <vt:variant>
        <vt:i4>0</vt:i4>
      </vt:variant>
      <vt:variant>
        <vt:i4>0</vt:i4>
      </vt:variant>
      <vt:variant>
        <vt:i4>5</vt:i4>
      </vt:variant>
      <vt:variant>
        <vt:lpwstr>http://www.google.ps/dictionary?source=translation&amp;hl=ar&amp;q=يعتبر%20مسح%20الهجرة%20في%20الأراضي%20الفلسطينية%20المسح%20الوطني%20الأول%20حول%20الهجرة%20في%20الأراضي%20الفلسطينية.%20ويهدف%20المشروع%20إلى%20توفير%20بيانات%20تفصيلية%20ودقيقة%20حول%20ظاهرة%20الهجرة%20الداخلية%20والخارجية%20من%20حيث%20حجمها%20وخصائصها%20واتجاهاتها،%20تحويلات%20المهاجرين%20ودراسة%20العوامل%20التي%20تؤثر%20على%20اتخاذ%20قرار%20الهجرة،%20وخصائص%20المهاجرين%20العائدين%20من%20الخارج%20واسباب%20العودة،%20بالإضافة%20إلى%20اتجاهات%20السكان%20الفلسطينيين%20غير%20المهاجرين%20نحو%20الهجرة%20إلى%20الخارج.%20%20وذلك%20%20لسد%20الحاجة%20الماسة%20لمثل%20هذه%20المؤشرات%20في%20ظل%20النقص%20الحاد%20في%20مجال%20إحصاءات%20الهجرة%20بشكل%20عام%20وإحصاءات%20الهجرة%20الدولية%20بشكل%20خاص.&amp;langpair=ar|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cp:lastModifiedBy>hatem</cp:lastModifiedBy>
  <cp:revision>21</cp:revision>
  <cp:lastPrinted>2011-10-12T12:07:00Z</cp:lastPrinted>
  <dcterms:created xsi:type="dcterms:W3CDTF">2011-06-19T08:30:00Z</dcterms:created>
  <dcterms:modified xsi:type="dcterms:W3CDTF">2011-10-17T12:52:00Z</dcterms:modified>
</cp:coreProperties>
</file>