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EA8" w:rsidRPr="00AA7F05" w:rsidRDefault="00457EA8" w:rsidP="00FB4E61">
      <w:pPr>
        <w:bidi w:val="0"/>
        <w:jc w:val="center"/>
      </w:pPr>
      <w:r w:rsidRPr="00AA7F05">
        <w:t xml:space="preserve">Chapter </w:t>
      </w:r>
      <w:r w:rsidR="00FB4E61">
        <w:t>One</w:t>
      </w:r>
    </w:p>
    <w:p w:rsidR="00457EA8" w:rsidRPr="00AA7F05" w:rsidRDefault="00457EA8" w:rsidP="00457EA8">
      <w:pPr>
        <w:bidi w:val="0"/>
        <w:jc w:val="center"/>
      </w:pPr>
    </w:p>
    <w:p w:rsidR="00457EA8" w:rsidRPr="00285179" w:rsidRDefault="00457EA8" w:rsidP="00457EA8">
      <w:pPr>
        <w:pStyle w:val="Heading3"/>
        <w:jc w:val="center"/>
        <w:rPr>
          <w:b w:val="0"/>
          <w:bCs w:val="0"/>
          <w:sz w:val="28"/>
          <w:szCs w:val="28"/>
        </w:rPr>
      </w:pPr>
      <w:r w:rsidRPr="00285179">
        <w:rPr>
          <w:sz w:val="28"/>
          <w:szCs w:val="28"/>
        </w:rPr>
        <w:t>Terms, Indicators and Classifications</w:t>
      </w:r>
    </w:p>
    <w:p w:rsidR="00457EA8" w:rsidRPr="00AA7F05" w:rsidRDefault="00457EA8" w:rsidP="00457EA8">
      <w:pPr>
        <w:bidi w:val="0"/>
        <w:rPr>
          <w:rtl/>
        </w:rPr>
      </w:pPr>
    </w:p>
    <w:p w:rsidR="0027545F" w:rsidRPr="0053285F" w:rsidRDefault="002F071A" w:rsidP="0027545F">
      <w:pPr>
        <w:pStyle w:val="Subtitle"/>
        <w:jc w:val="both"/>
        <w:rPr>
          <w:rFonts w:ascii="Times New Roman" w:hAnsi="Times New Roman" w:cs="Times New Roman"/>
          <w:sz w:val="24"/>
          <w:szCs w:val="24"/>
        </w:rPr>
      </w:pPr>
      <w:r w:rsidRPr="0053285F">
        <w:rPr>
          <w:rFonts w:ascii="Times New Roman" w:hAnsi="Times New Roman" w:cs="Times New Roman"/>
          <w:sz w:val="24"/>
          <w:szCs w:val="24"/>
        </w:rPr>
        <w:t>1.1 Terms and Indicators</w:t>
      </w:r>
    </w:p>
    <w:p w:rsidR="00457EA8" w:rsidRDefault="0053285F" w:rsidP="0053285F">
      <w:pPr>
        <w:bidi w:val="0"/>
        <w:jc w:val="both"/>
        <w:rPr>
          <w:sz w:val="16"/>
          <w:szCs w:val="16"/>
          <w:lang w:eastAsia="en-US"/>
        </w:rPr>
      </w:pPr>
      <w:r>
        <w:t>The following terms and indicators are defined in accordance with the glossary and guide statistical indicators issued by PCBS and certified on the latest international recommendations in statistics and consistent with international systems specially SNA</w:t>
      </w:r>
      <w:r w:rsidR="001B671C">
        <w:t>'</w:t>
      </w:r>
      <w:r>
        <w:t xml:space="preserve"> 2008.</w:t>
      </w:r>
    </w:p>
    <w:p w:rsidR="0053285F" w:rsidRPr="00AA7F05" w:rsidRDefault="0053285F" w:rsidP="0053285F">
      <w:pPr>
        <w:bidi w:val="0"/>
        <w:jc w:val="both"/>
        <w:rPr>
          <w:sz w:val="16"/>
          <w:szCs w:val="16"/>
          <w:lang w:eastAsia="en-US"/>
        </w:rPr>
      </w:pPr>
    </w:p>
    <w:p w:rsidR="00457EA8" w:rsidRPr="00AA7F05" w:rsidRDefault="00457EA8" w:rsidP="00457EA8">
      <w:pPr>
        <w:bidi w:val="0"/>
        <w:jc w:val="both"/>
        <w:rPr>
          <w:b/>
          <w:bCs/>
          <w:lang w:eastAsia="en-US"/>
        </w:rPr>
      </w:pPr>
      <w:r w:rsidRPr="00AA7F05">
        <w:rPr>
          <w:b/>
          <w:bCs/>
          <w:lang w:eastAsia="en-US"/>
        </w:rPr>
        <w:t xml:space="preserve">Institutional Sector: </w:t>
      </w:r>
    </w:p>
    <w:p w:rsidR="00457EA8" w:rsidRPr="00AA7F05" w:rsidRDefault="00457EA8" w:rsidP="00457EA8">
      <w:pPr>
        <w:bidi w:val="0"/>
        <w:jc w:val="both"/>
        <w:rPr>
          <w:b/>
          <w:bCs/>
          <w:lang w:eastAsia="en-US"/>
        </w:rPr>
      </w:pPr>
      <w:r w:rsidRPr="00AA7F05">
        <w:t xml:space="preserve">Institutional units are grouped together to form institutional sectors on the basis of their principal functions, behavior and objectives. There are five institutional sectors in the National Accounts system: government; non-profit institutions serving households; financial </w:t>
      </w:r>
      <w:r>
        <w:t>corporations,</w:t>
      </w:r>
      <w:r w:rsidRPr="00AA7F05">
        <w:t xml:space="preserve"> households</w:t>
      </w:r>
      <w:r>
        <w:t>,</w:t>
      </w:r>
      <w:r w:rsidRPr="00AA7F05">
        <w:t xml:space="preserve"> and non-financial corporations, in addition to the rest of world sector that has </w:t>
      </w:r>
      <w:r>
        <w:t xml:space="preserve">a </w:t>
      </w:r>
      <w:r w:rsidRPr="00AA7F05">
        <w:t>separate account.</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lang w:eastAsia="en-US"/>
        </w:rPr>
      </w:pPr>
      <w:r w:rsidRPr="00AA7F05">
        <w:rPr>
          <w:b/>
          <w:bCs/>
          <w:lang w:eastAsia="en-US"/>
        </w:rPr>
        <w:t>Financial Corporations Sector</w:t>
      </w:r>
      <w:r w:rsidRPr="00AA7F05">
        <w:rPr>
          <w:lang w:eastAsia="en-US"/>
        </w:rPr>
        <w:t xml:space="preserve">: </w:t>
      </w:r>
    </w:p>
    <w:p w:rsidR="00457EA8" w:rsidRPr="00AA7F05" w:rsidRDefault="00457EA8" w:rsidP="00457EA8">
      <w:pPr>
        <w:bidi w:val="0"/>
        <w:jc w:val="both"/>
        <w:rPr>
          <w:lang w:eastAsia="en-US"/>
        </w:rPr>
      </w:pPr>
      <w:r w:rsidRPr="00AA7F05">
        <w:rPr>
          <w:lang w:eastAsia="en-US"/>
        </w:rPr>
        <w:t>This c</w:t>
      </w:r>
      <w:r w:rsidRPr="00AA7F05">
        <w:t>onsists of all resident corporations that are principally engaged in providing financial services, including insurance and pension funding services, to other institutional units.</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t>Non-Financial Corporations Sector:</w:t>
      </w:r>
    </w:p>
    <w:p w:rsidR="00457EA8" w:rsidRPr="00AA7F05" w:rsidRDefault="00457EA8" w:rsidP="00457EA8">
      <w:pPr>
        <w:bidi w:val="0"/>
        <w:jc w:val="both"/>
        <w:rPr>
          <w:b/>
          <w:bCs/>
          <w:lang w:eastAsia="en-US"/>
        </w:rPr>
      </w:pPr>
      <w:r w:rsidRPr="00AA7F05">
        <w:rPr>
          <w:lang w:eastAsia="en-US"/>
        </w:rPr>
        <w:t>This c</w:t>
      </w:r>
      <w:r w:rsidRPr="00AA7F05">
        <w:t>onsists of corporations whose principal activity is the production of market goods or non-financial services.</w:t>
      </w:r>
      <w:r w:rsidRPr="00AA7F05">
        <w:rPr>
          <w:b/>
          <w:bCs/>
          <w:lang w:eastAsia="en-US"/>
        </w:rPr>
        <w:t xml:space="preserve"> </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pPr>
      <w:r w:rsidRPr="00AA7F05">
        <w:rPr>
          <w:b/>
          <w:bCs/>
          <w:lang w:eastAsia="en-US"/>
        </w:rPr>
        <w:t>Government Sector:</w:t>
      </w:r>
      <w:r w:rsidRPr="00AA7F05">
        <w:t xml:space="preserve"> </w:t>
      </w:r>
    </w:p>
    <w:p w:rsidR="00457EA8" w:rsidRPr="00AA7F05" w:rsidRDefault="00457EA8" w:rsidP="00457EA8">
      <w:pPr>
        <w:bidi w:val="0"/>
        <w:jc w:val="both"/>
        <w:rPr>
          <w:lang w:eastAsia="en-US"/>
        </w:rPr>
      </w:pPr>
      <w:r w:rsidRPr="00AA7F05">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r w:rsidRPr="00AA7F05">
        <w:rPr>
          <w:rStyle w:val="FootnoteReference"/>
          <w:rFonts w:eastAsia="SimSun"/>
        </w:rPr>
        <w:footnoteReference w:id="1"/>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lang w:eastAsia="en-US"/>
        </w:rPr>
      </w:pPr>
      <w:r w:rsidRPr="00AA7F05">
        <w:rPr>
          <w:b/>
          <w:bCs/>
          <w:lang w:eastAsia="en-US"/>
        </w:rPr>
        <w:t>Non-Profit Institutions Serving Households (NPISHs):</w:t>
      </w:r>
    </w:p>
    <w:p w:rsidR="00457EA8" w:rsidRPr="00AA7F05" w:rsidRDefault="00457EA8" w:rsidP="00457EA8">
      <w:pPr>
        <w:bidi w:val="0"/>
        <w:jc w:val="both"/>
        <w:rPr>
          <w:b/>
          <w:bCs/>
          <w:lang w:eastAsia="en-US"/>
        </w:rPr>
      </w:pPr>
      <w:r w:rsidRPr="00AA7F05">
        <w:rPr>
          <w:lang w:eastAsia="en-US"/>
        </w:rPr>
        <w:t>This c</w:t>
      </w:r>
      <w:r w:rsidRPr="00AA7F05">
        <w:t>onsists of non-market NPIs that are not controlled by government.</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t>Household Sector:</w:t>
      </w:r>
    </w:p>
    <w:p w:rsidR="00457EA8" w:rsidRPr="00AA7F05" w:rsidRDefault="00457EA8" w:rsidP="00457EA8">
      <w:pPr>
        <w:bidi w:val="0"/>
        <w:jc w:val="both"/>
      </w:pPr>
      <w:r w:rsidRPr="00AA7F05">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w:t>
      </w:r>
      <w:r>
        <w:t>ies</w:t>
      </w:r>
      <w:r w:rsidRPr="00AA7F05">
        <w:t xml:space="preserve"> taking place within the production boundary and not performed by an entity maintaining a complete set of accounts is considered to be undertaken in the household sector.</w:t>
      </w:r>
      <w:r>
        <w:t xml:space="preserve"> </w:t>
      </w:r>
    </w:p>
    <w:p w:rsidR="00457EA8" w:rsidRPr="00AA7F05" w:rsidRDefault="00457EA8" w:rsidP="00457EA8">
      <w:pPr>
        <w:bidi w:val="0"/>
        <w:jc w:val="both"/>
        <w:rPr>
          <w:sz w:val="16"/>
          <w:szCs w:val="16"/>
        </w:rPr>
      </w:pPr>
    </w:p>
    <w:p w:rsidR="00457EA8" w:rsidRPr="00AA7F05" w:rsidRDefault="00457EA8" w:rsidP="00457EA8">
      <w:pPr>
        <w:bidi w:val="0"/>
        <w:jc w:val="both"/>
        <w:rPr>
          <w:b/>
          <w:bCs/>
        </w:rPr>
      </w:pPr>
      <w:r w:rsidRPr="00AA7F05">
        <w:rPr>
          <w:b/>
          <w:bCs/>
        </w:rPr>
        <w:t>Residence:</w:t>
      </w:r>
    </w:p>
    <w:p w:rsidR="00457EA8" w:rsidRPr="00AA7F05" w:rsidRDefault="00457EA8" w:rsidP="00457EA8">
      <w:pPr>
        <w:bidi w:val="0"/>
        <w:jc w:val="both"/>
        <w:rPr>
          <w:lang w:eastAsia="en-US"/>
        </w:rPr>
      </w:pPr>
      <w:r w:rsidRPr="00AA7F05">
        <w:t>This 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457EA8" w:rsidRPr="00AA7F05" w:rsidRDefault="00457EA8" w:rsidP="00457EA8">
      <w:pPr>
        <w:bidi w:val="0"/>
        <w:jc w:val="both"/>
        <w:rPr>
          <w:lang w:eastAsia="en-US"/>
        </w:rPr>
      </w:pPr>
      <w:r w:rsidRPr="00AA7F05">
        <w:rPr>
          <w:lang w:eastAsia="en-US"/>
        </w:rPr>
        <w:t xml:space="preserve"> </w:t>
      </w:r>
    </w:p>
    <w:p w:rsidR="00457EA8" w:rsidRPr="00AA7F05" w:rsidRDefault="00457EA8" w:rsidP="00457EA8">
      <w:pPr>
        <w:bidi w:val="0"/>
        <w:rPr>
          <w:lang w:eastAsia="en-US"/>
        </w:rPr>
      </w:pPr>
      <w:r w:rsidRPr="00AA7F05">
        <w:rPr>
          <w:lang w:eastAsia="en-US"/>
        </w:rPr>
        <w:br w:type="page"/>
      </w:r>
    </w:p>
    <w:p w:rsidR="00457EA8" w:rsidRPr="00AA7F05" w:rsidRDefault="00457EA8" w:rsidP="00457EA8">
      <w:pPr>
        <w:bidi w:val="0"/>
        <w:jc w:val="both"/>
        <w:rPr>
          <w:b/>
          <w:bCs/>
          <w:lang w:eastAsia="en-US"/>
        </w:rPr>
      </w:pPr>
      <w:r w:rsidRPr="00AA7F05">
        <w:rPr>
          <w:b/>
          <w:bCs/>
          <w:lang w:eastAsia="en-US"/>
        </w:rPr>
        <w:lastRenderedPageBreak/>
        <w:t xml:space="preserve">Production (Output): </w:t>
      </w:r>
    </w:p>
    <w:p w:rsidR="00457EA8" w:rsidRPr="00AA7F05" w:rsidRDefault="00457EA8" w:rsidP="00457EA8">
      <w:pPr>
        <w:bidi w:val="0"/>
        <w:jc w:val="both"/>
        <w:rPr>
          <w:b/>
          <w:bCs/>
        </w:rPr>
      </w:pPr>
      <w:r w:rsidRPr="00AA7F05">
        <w:t>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457EA8" w:rsidRPr="00AA7F05" w:rsidRDefault="00457EA8" w:rsidP="00457EA8">
      <w:pPr>
        <w:bidi w:val="0"/>
        <w:jc w:val="both"/>
        <w:rPr>
          <w:b/>
          <w:bCs/>
          <w:sz w:val="16"/>
          <w:szCs w:val="16"/>
        </w:rPr>
      </w:pPr>
      <w:r w:rsidRPr="00AA7F05">
        <w:rPr>
          <w:b/>
          <w:bCs/>
        </w:rPr>
        <w:t xml:space="preserve"> </w:t>
      </w:r>
    </w:p>
    <w:p w:rsidR="00457EA8" w:rsidRPr="00AA7F05" w:rsidRDefault="00457EA8" w:rsidP="006D7796">
      <w:pPr>
        <w:pStyle w:val="BodyTextIndent"/>
        <w:ind w:left="0" w:right="-19"/>
        <w:jc w:val="both"/>
        <w:rPr>
          <w:b/>
          <w:bCs/>
        </w:rPr>
      </w:pPr>
      <w:r w:rsidRPr="00AA7F05">
        <w:rPr>
          <w:b/>
          <w:bCs/>
        </w:rPr>
        <w:t xml:space="preserve">Market Output: </w:t>
      </w:r>
    </w:p>
    <w:p w:rsidR="00457EA8" w:rsidRPr="00AA7F05" w:rsidRDefault="00457EA8" w:rsidP="00457EA8">
      <w:pPr>
        <w:pStyle w:val="BodyTextIndent"/>
        <w:ind w:left="0" w:right="-19"/>
        <w:jc w:val="both"/>
        <w:rPr>
          <w:b/>
          <w:bCs/>
        </w:rPr>
      </w:pPr>
      <w:r w:rsidRPr="00AA7F05">
        <w:t>It includes goods and services sold at market prices or otherwise disposed of in the market, or in tender for sale or disposal in the market, such as most of the goods and services sold at warehouses and retail sale stores</w:t>
      </w:r>
      <w:r w:rsidRPr="00AA7F05">
        <w:rPr>
          <w:b/>
          <w:bCs/>
        </w:rPr>
        <w:t>.</w:t>
      </w:r>
    </w:p>
    <w:p w:rsidR="00457EA8" w:rsidRPr="00AA7F05" w:rsidRDefault="00457EA8" w:rsidP="00457EA8">
      <w:pPr>
        <w:pStyle w:val="BodyTextIndent"/>
        <w:ind w:left="0" w:right="-19"/>
        <w:jc w:val="both"/>
        <w:rPr>
          <w:b/>
          <w:bCs/>
          <w:sz w:val="16"/>
          <w:szCs w:val="16"/>
        </w:rPr>
      </w:pPr>
    </w:p>
    <w:p w:rsidR="00457EA8" w:rsidRPr="00AA7F05" w:rsidRDefault="00457EA8" w:rsidP="00457EA8">
      <w:pPr>
        <w:pStyle w:val="BodyTextIndent"/>
        <w:ind w:left="0" w:right="-19"/>
        <w:jc w:val="both"/>
      </w:pPr>
      <w:r w:rsidRPr="00AA7F05">
        <w:rPr>
          <w:b/>
          <w:bCs/>
        </w:rPr>
        <w:t>Output for own final use:</w:t>
      </w:r>
      <w:r w:rsidRPr="00AA7F05">
        <w:t xml:space="preserve"> </w:t>
      </w:r>
    </w:p>
    <w:p w:rsidR="00457EA8" w:rsidRPr="00AA7F05" w:rsidRDefault="00457EA8" w:rsidP="00457EA8">
      <w:pPr>
        <w:pStyle w:val="BodyTextIndent"/>
        <w:ind w:left="0" w:right="-19"/>
        <w:jc w:val="both"/>
      </w:pPr>
      <w:r w:rsidRPr="00AA7F05">
        <w:t>Consists of products retained by the producer for his own use in final consumption or capital formation.</w:t>
      </w:r>
    </w:p>
    <w:p w:rsidR="00457EA8" w:rsidRPr="00AA7F05" w:rsidRDefault="00457EA8" w:rsidP="00457EA8">
      <w:pPr>
        <w:pStyle w:val="BodyTextIndent"/>
        <w:ind w:left="0" w:right="-19"/>
        <w:jc w:val="both"/>
        <w:rPr>
          <w:b/>
          <w:bCs/>
          <w:sz w:val="16"/>
          <w:szCs w:val="16"/>
        </w:rPr>
      </w:pPr>
    </w:p>
    <w:p w:rsidR="00457EA8" w:rsidRPr="00AA7F05" w:rsidRDefault="00457EA8" w:rsidP="006D7796">
      <w:pPr>
        <w:pStyle w:val="BodyTextIndent"/>
        <w:ind w:left="0" w:right="-19"/>
        <w:jc w:val="both"/>
      </w:pPr>
      <w:r w:rsidRPr="00AA7F05">
        <w:rPr>
          <w:b/>
          <w:bCs/>
        </w:rPr>
        <w:t>Other Non-Market Output:</w:t>
      </w:r>
      <w:r w:rsidRPr="00AA7F05">
        <w:t xml:space="preserve"> </w:t>
      </w:r>
    </w:p>
    <w:p w:rsidR="00457EA8" w:rsidRPr="00AA7F05" w:rsidRDefault="00457EA8" w:rsidP="00457EA8">
      <w:pPr>
        <w:pStyle w:val="BodyTextIndent"/>
        <w:ind w:left="0" w:right="-19"/>
        <w:jc w:val="both"/>
        <w:rPr>
          <w:b/>
          <w:bCs/>
        </w:rPr>
      </w:pPr>
      <w:r w:rsidRPr="00AA7F05">
        <w:t>Consists of goods and individual or collective services produced by non-profit institutions serving households (NPISHs) or the government that are supplied free, or at prices that are not economically significant, to other institutional units or the community as a whole</w:t>
      </w:r>
      <w:r w:rsidRPr="00AA7F05">
        <w:rPr>
          <w:b/>
          <w:bCs/>
        </w:rPr>
        <w:t>.</w:t>
      </w:r>
    </w:p>
    <w:p w:rsidR="00457EA8" w:rsidRPr="00AA7F05" w:rsidRDefault="00457EA8" w:rsidP="00457EA8">
      <w:pPr>
        <w:pStyle w:val="BodyTextIndent"/>
        <w:ind w:left="0" w:right="720"/>
        <w:jc w:val="both"/>
        <w:rPr>
          <w:b/>
          <w:bCs/>
          <w:sz w:val="16"/>
          <w:szCs w:val="16"/>
        </w:rPr>
      </w:pPr>
    </w:p>
    <w:p w:rsidR="00457EA8" w:rsidRPr="00AA7F05" w:rsidRDefault="00457EA8" w:rsidP="00457EA8">
      <w:pPr>
        <w:pStyle w:val="BodyTextIndent"/>
        <w:ind w:left="0" w:right="720"/>
        <w:jc w:val="both"/>
        <w:rPr>
          <w:b/>
          <w:bCs/>
        </w:rPr>
      </w:pPr>
      <w:r w:rsidRPr="00AA7F05">
        <w:rPr>
          <w:b/>
          <w:bCs/>
        </w:rPr>
        <w:t>Financial Services:</w:t>
      </w:r>
    </w:p>
    <w:p w:rsidR="00457EA8" w:rsidRPr="00AA7F05" w:rsidRDefault="00457EA8" w:rsidP="00457EA8">
      <w:pPr>
        <w:bidi w:val="0"/>
        <w:jc w:val="both"/>
        <w:rPr>
          <w:b/>
          <w:bCs/>
          <w:lang w:eastAsia="en-US"/>
        </w:rPr>
      </w:pPr>
      <w:r w:rsidRPr="00AA7F05">
        <w:t>This is the output of financial services that can be measured by the total cost of actual and calculated services. This is necessary because financial institutions accrue earnings from the difference between interests on loans and deposits.  As the calculation of the cost of the actual service is carried out directly, the calculation of the service (services of financial intermediation measured indirectly FISIM) is more complicated and includes monitoring services, convenience services, liquidity provision, risk assumption, underwriting and trading services.</w:t>
      </w:r>
    </w:p>
    <w:p w:rsidR="00457EA8" w:rsidRPr="00AA7F05" w:rsidRDefault="00457EA8" w:rsidP="00457EA8">
      <w:pPr>
        <w:bidi w:val="0"/>
        <w:jc w:val="both"/>
        <w:rPr>
          <w:b/>
          <w:bCs/>
          <w:sz w:val="16"/>
          <w:szCs w:val="16"/>
          <w:lang w:eastAsia="en-US"/>
        </w:rPr>
      </w:pPr>
    </w:p>
    <w:p w:rsidR="00457EA8" w:rsidRPr="00285179" w:rsidRDefault="00457EA8" w:rsidP="00457EA8">
      <w:pPr>
        <w:jc w:val="right"/>
        <w:rPr>
          <w:b/>
          <w:bCs/>
        </w:rPr>
      </w:pPr>
      <w:r w:rsidRPr="00285179">
        <w:rPr>
          <w:b/>
          <w:bCs/>
        </w:rPr>
        <w:t xml:space="preserve">Financial Intermediation Services Indirectly Measured (FISIM): </w:t>
      </w:r>
    </w:p>
    <w:p w:rsidR="00457EA8" w:rsidRPr="00285179" w:rsidRDefault="00457EA8" w:rsidP="00457EA8">
      <w:pPr>
        <w:pStyle w:val="BodyTextIndent3"/>
        <w:tabs>
          <w:tab w:val="left" w:pos="0"/>
          <w:tab w:val="right" w:pos="90"/>
        </w:tabs>
        <w:ind w:left="0"/>
        <w:jc w:val="mediumKashida"/>
      </w:pPr>
      <w:r w:rsidRPr="00285179">
        <w:t>It is the difference between the rate paid to banks by borrowers and the reference rate plus the difference between the reference rate and the rate actually paid to depositors.</w:t>
      </w:r>
    </w:p>
    <w:p w:rsidR="00457EA8" w:rsidRDefault="00457EA8" w:rsidP="00457EA8">
      <w:pPr>
        <w:bidi w:val="0"/>
        <w:jc w:val="both"/>
        <w:rPr>
          <w:b/>
          <w:bCs/>
          <w:lang w:eastAsia="en-US"/>
        </w:rPr>
      </w:pPr>
    </w:p>
    <w:p w:rsidR="00457EA8" w:rsidRPr="00AA7F05" w:rsidRDefault="00457EA8" w:rsidP="00457EA8">
      <w:pPr>
        <w:bidi w:val="0"/>
        <w:jc w:val="both"/>
        <w:rPr>
          <w:b/>
          <w:bCs/>
          <w:lang w:eastAsia="en-US"/>
        </w:rPr>
      </w:pPr>
      <w:r w:rsidRPr="00AA7F05">
        <w:rPr>
          <w:b/>
          <w:bCs/>
          <w:lang w:eastAsia="en-US"/>
        </w:rPr>
        <w:t>Intermediate Consumption:</w:t>
      </w:r>
    </w:p>
    <w:p w:rsidR="00457EA8" w:rsidRPr="00AA7F05" w:rsidRDefault="00457EA8" w:rsidP="00457EA8">
      <w:pPr>
        <w:bidi w:val="0"/>
        <w:jc w:val="both"/>
        <w:rPr>
          <w:b/>
          <w:bCs/>
          <w:lang w:eastAsia="en-US"/>
        </w:rPr>
      </w:pPr>
      <w:r w:rsidRPr="00AA7F05">
        <w:t>Consists of the value of the goods and services consumed as inputs by a process of production, excluding fixed assets whose consumption is recorded as consumption of fixed capital.</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t>Value Added:</w:t>
      </w:r>
    </w:p>
    <w:p w:rsidR="00457EA8" w:rsidRPr="00AA7F05" w:rsidRDefault="00457EA8" w:rsidP="00457EA8">
      <w:pPr>
        <w:bidi w:val="0"/>
        <w:jc w:val="both"/>
        <w:rPr>
          <w:b/>
          <w:bCs/>
          <w:lang w:eastAsia="en-US"/>
        </w:rPr>
      </w:pPr>
      <w:r w:rsidRPr="00AA7F05">
        <w:t xml:space="preserve">Value added is a central concept of production and refers to the value generated </w:t>
      </w:r>
      <w:r>
        <w:t xml:space="preserve">by </w:t>
      </w:r>
      <w:r w:rsidRPr="00AA7F05">
        <w:t>any unit that carries out any productive activity. Gross value added is defined as the value of gross output less the value of intermediate consumption. The net value added is defined as the gross value less the value of fixed capital consumption.</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t>Gross Domestic Product or GDP</w:t>
      </w:r>
      <w:r w:rsidR="00BC334A">
        <w:rPr>
          <w:b/>
          <w:bCs/>
          <w:lang w:eastAsia="en-US"/>
        </w:rPr>
        <w:t xml:space="preserve"> (Indicator)</w:t>
      </w:r>
      <w:r w:rsidRPr="00AA7F05">
        <w:rPr>
          <w:b/>
          <w:bCs/>
          <w:lang w:eastAsia="en-US"/>
        </w:rPr>
        <w:t>:</w:t>
      </w:r>
    </w:p>
    <w:p w:rsidR="00457EA8" w:rsidRPr="00AA7F05" w:rsidRDefault="00457EA8" w:rsidP="00457EA8">
      <w:pPr>
        <w:bidi w:val="0"/>
        <w:jc w:val="both"/>
        <w:rPr>
          <w:lang w:eastAsia="en-US"/>
        </w:rPr>
      </w:pPr>
      <w:r w:rsidRPr="00AA7F05">
        <w:t>This measures the total value added of all economic activities, which consists of the output of goods and services for final use produced by both residents and non-residents (local factors of production), and regardless of the distribution of this production, locally or externally, during a specific period of time. It does not include deductions for depreciation of fixed capital or deterioration of natural resources.</w:t>
      </w:r>
    </w:p>
    <w:p w:rsidR="00457EA8" w:rsidRPr="00DB173F" w:rsidRDefault="00457EA8" w:rsidP="00457EA8">
      <w:pPr>
        <w:bidi w:val="0"/>
        <w:jc w:val="both"/>
        <w:rPr>
          <w:b/>
          <w:bCs/>
        </w:rPr>
      </w:pPr>
    </w:p>
    <w:p w:rsidR="00457EA8" w:rsidRPr="00AA7F05" w:rsidRDefault="00457EA8" w:rsidP="00457EA8">
      <w:pPr>
        <w:bidi w:val="0"/>
        <w:jc w:val="both"/>
        <w:rPr>
          <w:b/>
          <w:bCs/>
          <w:lang w:eastAsia="en-US"/>
        </w:rPr>
      </w:pPr>
      <w:r w:rsidRPr="00AA7F05">
        <w:rPr>
          <w:b/>
          <w:bCs/>
          <w:lang w:eastAsia="en-US"/>
        </w:rPr>
        <w:lastRenderedPageBreak/>
        <w:t>Final Consumption:</w:t>
      </w:r>
    </w:p>
    <w:p w:rsidR="00457EA8" w:rsidRPr="00AA7F05" w:rsidRDefault="00457EA8" w:rsidP="00457EA8">
      <w:pPr>
        <w:bidi w:val="0"/>
        <w:jc w:val="both"/>
        <w:rPr>
          <w:b/>
          <w:bCs/>
          <w:lang w:eastAsia="en-US"/>
        </w:rPr>
      </w:pPr>
      <w:r w:rsidRPr="00AA7F05">
        <w:t>This is the amount of expenditure on consumption of goods and services by households, government and non-profit institutions serving households (NPISHs).</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rPr>
        <w:t>Household Final Consumption</w:t>
      </w:r>
      <w:r w:rsidRPr="00AA7F05">
        <w:rPr>
          <w:b/>
          <w:bCs/>
          <w:lang w:eastAsia="en-US"/>
        </w:rPr>
        <w:t xml:space="preserve">: </w:t>
      </w:r>
    </w:p>
    <w:p w:rsidR="00457EA8" w:rsidRPr="00AA7F05" w:rsidRDefault="00457EA8" w:rsidP="00457EA8">
      <w:pPr>
        <w:bidi w:val="0"/>
        <w:jc w:val="both"/>
        <w:rPr>
          <w:lang w:eastAsia="en-US"/>
        </w:rPr>
      </w:pPr>
      <w:r w:rsidRPr="00AA7F05">
        <w:t>This consists of the expenditure, including expenditure whose value must be estimated indirectly, incurred by resident households on the individual consumption of goods and services, including those sold at prices that are not economically significant and including consumption goods and services acquired abroad.</w:t>
      </w:r>
    </w:p>
    <w:p w:rsidR="00457EA8" w:rsidRPr="00AA7F05" w:rsidRDefault="00457EA8" w:rsidP="00457EA8">
      <w:pPr>
        <w:bidi w:val="0"/>
        <w:jc w:val="both"/>
        <w:rPr>
          <w:sz w:val="16"/>
          <w:szCs w:val="16"/>
          <w:lang w:eastAsia="en-US"/>
        </w:rPr>
      </w:pPr>
    </w:p>
    <w:p w:rsidR="00457EA8" w:rsidRPr="00AA7F05" w:rsidRDefault="00457EA8" w:rsidP="00457EA8">
      <w:pPr>
        <w:bidi w:val="0"/>
        <w:jc w:val="both"/>
        <w:rPr>
          <w:lang w:eastAsia="en-US"/>
        </w:rPr>
      </w:pPr>
      <w:r w:rsidRPr="00AA7F05">
        <w:rPr>
          <w:b/>
          <w:bCs/>
          <w:lang w:eastAsia="en-US"/>
        </w:rPr>
        <w:t>Government Final Consumption:</w:t>
      </w:r>
      <w:r w:rsidRPr="00AA7F05">
        <w:rPr>
          <w:lang w:eastAsia="en-US"/>
        </w:rPr>
        <w:t xml:space="preserve"> </w:t>
      </w:r>
    </w:p>
    <w:p w:rsidR="00457EA8" w:rsidRPr="00AA7F05" w:rsidRDefault="00457EA8" w:rsidP="00457EA8">
      <w:pPr>
        <w:bidi w:val="0"/>
        <w:jc w:val="both"/>
        <w:rPr>
          <w:b/>
          <w:bCs/>
          <w:lang w:eastAsia="en-US"/>
        </w:rPr>
      </w:pPr>
      <w:r w:rsidRPr="00AA7F05">
        <w:t xml:space="preserve">This consists of expenditure, including expenditure whose value must be estimated indirectly, incurred by general government for both individual consumption of goods and services and collective consumption </w:t>
      </w:r>
      <w:r>
        <w:t xml:space="preserve">of </w:t>
      </w:r>
      <w:r w:rsidRPr="00AA7F05">
        <w:t>services.</w:t>
      </w:r>
      <w:r>
        <w:t xml:space="preserve"> </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rPr>
        <w:t>Final Consumption Expenditure of Non-profit Institutions Serving Households:</w:t>
      </w:r>
    </w:p>
    <w:p w:rsidR="00457EA8" w:rsidRPr="00AA7F05" w:rsidRDefault="00457EA8" w:rsidP="00457EA8">
      <w:pPr>
        <w:bidi w:val="0"/>
        <w:jc w:val="both"/>
        <w:rPr>
          <w:b/>
          <w:bCs/>
          <w:lang w:eastAsia="en-US"/>
        </w:rPr>
      </w:pPr>
      <w:r w:rsidRPr="00AA7F05">
        <w:t>This consists of the expenditure, including expenditure whose value must be estimated indirectly, incurred by resident NPISHs on individual consumption of goods and services, and possibly on collective consumption services.</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t>Gross Capital Formation:</w:t>
      </w:r>
    </w:p>
    <w:p w:rsidR="00457EA8" w:rsidRPr="00AA7F05" w:rsidRDefault="00457EA8" w:rsidP="00457EA8">
      <w:pPr>
        <w:bidi w:val="0"/>
        <w:jc w:val="both"/>
        <w:rPr>
          <w:lang w:eastAsia="en-US"/>
        </w:rPr>
      </w:pPr>
      <w:r w:rsidRPr="00AA7F05">
        <w:t>This is the acquisition minus the disposal of produced assets for the purpose of fixed capital formation, inventories or valuables</w:t>
      </w:r>
      <w:r w:rsidRPr="00AA7F05">
        <w:rPr>
          <w:lang w:eastAsia="en-US"/>
        </w:rPr>
        <w:t>.</w:t>
      </w:r>
    </w:p>
    <w:p w:rsidR="00457EA8" w:rsidRPr="00AA7F05" w:rsidRDefault="00457EA8" w:rsidP="00457EA8">
      <w:pPr>
        <w:bidi w:val="0"/>
        <w:jc w:val="both"/>
        <w:rPr>
          <w:sz w:val="16"/>
          <w:szCs w:val="16"/>
          <w:lang w:eastAsia="en-US"/>
        </w:rPr>
      </w:pPr>
    </w:p>
    <w:p w:rsidR="00457EA8" w:rsidRPr="00AA7F05" w:rsidRDefault="00457EA8" w:rsidP="00457EA8">
      <w:pPr>
        <w:bidi w:val="0"/>
        <w:ind w:right="187"/>
        <w:jc w:val="both"/>
      </w:pPr>
      <w:r w:rsidRPr="00AA7F05">
        <w:rPr>
          <w:b/>
          <w:bCs/>
          <w:lang w:eastAsia="en-US"/>
        </w:rPr>
        <w:t>Gross Fixed Capital Formation:</w:t>
      </w:r>
      <w:r w:rsidRPr="00AA7F05">
        <w:rPr>
          <w:lang w:eastAsia="en-US"/>
        </w:rPr>
        <w:t xml:space="preserve"> </w:t>
      </w:r>
    </w:p>
    <w:p w:rsidR="00457EA8" w:rsidRPr="00AA7F05" w:rsidRDefault="00457EA8" w:rsidP="00457EA8">
      <w:pPr>
        <w:bidi w:val="0"/>
        <w:ind w:right="187"/>
        <w:jc w:val="both"/>
        <w:rPr>
          <w:lang w:eastAsia="en-US"/>
        </w:rPr>
      </w:pPr>
      <w:r w:rsidRPr="00AA7F05">
        <w:t>Gross fixed capital formation consists of the value of producers’ acquisitions of new and existing products of produced assets minus the value of the disposal of fixed assets of the same type.</w:t>
      </w:r>
    </w:p>
    <w:p w:rsidR="00457EA8" w:rsidRPr="00AA7F05" w:rsidRDefault="00457EA8" w:rsidP="00457EA8">
      <w:pPr>
        <w:bidi w:val="0"/>
        <w:jc w:val="both"/>
        <w:rPr>
          <w:sz w:val="16"/>
          <w:szCs w:val="16"/>
          <w:lang w:eastAsia="en-US"/>
        </w:rPr>
      </w:pPr>
    </w:p>
    <w:p w:rsidR="00457EA8" w:rsidRPr="00AA7F05" w:rsidRDefault="00457EA8" w:rsidP="00457EA8">
      <w:pPr>
        <w:bidi w:val="0"/>
        <w:jc w:val="both"/>
        <w:rPr>
          <w:b/>
          <w:bCs/>
          <w:lang w:eastAsia="en-US"/>
        </w:rPr>
      </w:pPr>
      <w:r w:rsidRPr="00AA7F05">
        <w:rPr>
          <w:b/>
          <w:bCs/>
          <w:lang w:eastAsia="en-US"/>
        </w:rPr>
        <w:t>Change in Inventory:</w:t>
      </w:r>
    </w:p>
    <w:p w:rsidR="00457EA8" w:rsidRPr="00AA7F05" w:rsidRDefault="00457EA8" w:rsidP="00457EA8">
      <w:pPr>
        <w:bidi w:val="0"/>
        <w:jc w:val="both"/>
        <w:rPr>
          <w:b/>
          <w:bCs/>
          <w:lang w:eastAsia="en-US"/>
        </w:rPr>
      </w:pPr>
      <w:r w:rsidRPr="00AA7F05">
        <w:t xml:space="preserve">This is measured by the value of entries into inventories minus the value of withdrawals and </w:t>
      </w:r>
      <w:r w:rsidR="006B14A7">
        <w:t xml:space="preserve">less the value </w:t>
      </w:r>
      <w:r w:rsidRPr="00AA7F05">
        <w:t>of any recurrent losses of goods held in inventories during the accounting period.</w:t>
      </w:r>
      <w:r w:rsidRPr="00AA7F05">
        <w:rPr>
          <w:b/>
          <w:bCs/>
          <w:lang w:eastAsia="en-US"/>
        </w:rPr>
        <w:t xml:space="preserve"> </w:t>
      </w:r>
    </w:p>
    <w:p w:rsidR="00457EA8" w:rsidRPr="00AA7F05" w:rsidRDefault="00457EA8" w:rsidP="00457EA8">
      <w:pPr>
        <w:bidi w:val="0"/>
        <w:jc w:val="both"/>
        <w:rPr>
          <w:b/>
          <w:bCs/>
          <w:sz w:val="16"/>
          <w:szCs w:val="16"/>
          <w:lang w:eastAsia="en-US"/>
        </w:rPr>
      </w:pPr>
    </w:p>
    <w:p w:rsidR="004865D3" w:rsidRPr="004865D3" w:rsidRDefault="004865D3" w:rsidP="004865D3">
      <w:pPr>
        <w:jc w:val="right"/>
        <w:rPr>
          <w:b/>
          <w:bCs/>
        </w:rPr>
      </w:pPr>
      <w:r w:rsidRPr="004865D3">
        <w:rPr>
          <w:b/>
          <w:bCs/>
        </w:rPr>
        <w:t>Exports</w:t>
      </w:r>
      <w:r w:rsidR="00900E99">
        <w:rPr>
          <w:b/>
          <w:bCs/>
        </w:rPr>
        <w:t>:</w:t>
      </w:r>
    </w:p>
    <w:p w:rsidR="004865D3" w:rsidRDefault="004865D3" w:rsidP="004865D3">
      <w:pPr>
        <w:jc w:val="right"/>
        <w:rPr>
          <w:rtl/>
        </w:rPr>
      </w:pPr>
      <w:r>
        <w:t xml:space="preserve">It refers to whole commodities (goods and services) that are exported or re-exported outside the country, conditioned with ownership transcription to another   economy or to free customs regions as a discount from the notional economy which results from transaction with a non   resident economy  </w:t>
      </w:r>
    </w:p>
    <w:p w:rsidR="0053285F" w:rsidRDefault="0053285F" w:rsidP="004865D3">
      <w:pPr>
        <w:jc w:val="right"/>
      </w:pPr>
    </w:p>
    <w:p w:rsidR="004865D3" w:rsidRPr="004865D3" w:rsidRDefault="004865D3" w:rsidP="004865D3">
      <w:pPr>
        <w:jc w:val="right"/>
        <w:rPr>
          <w:b/>
          <w:bCs/>
        </w:rPr>
      </w:pPr>
      <w:r w:rsidRPr="004865D3">
        <w:rPr>
          <w:b/>
          <w:bCs/>
        </w:rPr>
        <w:t>Imports</w:t>
      </w:r>
      <w:r w:rsidR="00900E99">
        <w:rPr>
          <w:b/>
          <w:bCs/>
        </w:rPr>
        <w:t>:</w:t>
      </w:r>
    </w:p>
    <w:p w:rsidR="004865D3" w:rsidRDefault="004865D3" w:rsidP="004865D3">
      <w:pPr>
        <w:jc w:val="right"/>
      </w:pPr>
      <w:r>
        <w:t> It refers to whole commodities (goods and services) entering the country by air, land and sea that are used in consumption, for conversion in the manufacturing sector and for re-exportation</w:t>
      </w:r>
    </w:p>
    <w:p w:rsidR="00457EA8" w:rsidRPr="00DB173F"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t>Gross National Income:</w:t>
      </w:r>
      <w:r w:rsidRPr="00AA7F05">
        <w:rPr>
          <w:rStyle w:val="FootnoteReference"/>
          <w:rFonts w:eastAsia="SimSun"/>
          <w:b/>
          <w:bCs/>
        </w:rPr>
        <w:footnoteReference w:id="2"/>
      </w:r>
    </w:p>
    <w:p w:rsidR="00457EA8" w:rsidRPr="00AA7F05" w:rsidRDefault="00283C6E" w:rsidP="00283C6E">
      <w:pPr>
        <w:autoSpaceDE w:val="0"/>
        <w:autoSpaceDN w:val="0"/>
        <w:bidi w:val="0"/>
        <w:adjustRightInd w:val="0"/>
        <w:jc w:val="both"/>
        <w:rPr>
          <w:b/>
          <w:bCs/>
          <w:lang w:eastAsia="en-US"/>
        </w:rPr>
      </w:pPr>
      <w:r>
        <w:t>It</w:t>
      </w:r>
      <w:r w:rsidR="00457EA8" w:rsidRPr="00AA7F05">
        <w:t xml:space="preserve"> is the aggregate value of the gross balance</w:t>
      </w:r>
      <w:r>
        <w:t>s</w:t>
      </w:r>
      <w:r w:rsidR="00457EA8" w:rsidRPr="00AA7F05">
        <w:t xml:space="preserve"> of primary income</w:t>
      </w:r>
      <w:r>
        <w:t>s</w:t>
      </w:r>
      <w:r w:rsidR="00457EA8" w:rsidRPr="00AA7F05">
        <w:t xml:space="preserve"> </w:t>
      </w:r>
      <w:r>
        <w:t>for</w:t>
      </w:r>
      <w:r w:rsidR="00457EA8" w:rsidRPr="00AA7F05">
        <w:t xml:space="preserve"> all sectors. It is defined as GDP plus compensation of employees receivable from abroad, plus property income receivable from abroad, plus taxes, minus subsidies on production receivable from abroad, minus compensation of employees payable abroad, minus property income payable abroad, and minus taxes plus subsidies on production payable abroad.</w:t>
      </w:r>
    </w:p>
    <w:p w:rsidR="00457EA8" w:rsidRPr="00AA7F05" w:rsidRDefault="00457EA8" w:rsidP="00457EA8">
      <w:pPr>
        <w:bidi w:val="0"/>
        <w:jc w:val="both"/>
        <w:rPr>
          <w:b/>
          <w:bCs/>
          <w:lang w:eastAsia="en-US"/>
        </w:rPr>
      </w:pPr>
      <w:r w:rsidRPr="00AA7F05">
        <w:rPr>
          <w:b/>
          <w:bCs/>
          <w:lang w:eastAsia="en-US"/>
        </w:rPr>
        <w:lastRenderedPageBreak/>
        <w:t>Gross National Disposable Income:</w:t>
      </w:r>
    </w:p>
    <w:p w:rsidR="00457EA8" w:rsidRPr="00AA7F05" w:rsidRDefault="00457EA8" w:rsidP="00457EA8">
      <w:pPr>
        <w:bidi w:val="0"/>
        <w:jc w:val="both"/>
        <w:rPr>
          <w:rtl/>
        </w:rPr>
      </w:pPr>
      <w:r w:rsidRPr="00AA7F05">
        <w:t>Gross or net national disposable income may be derived from gross or net national income by adding all current transfers in cash or in kind receivable by resident institutional units from non-resident units and subtracting all current transfers in cash or in kind payable by resident institutional units to non-resident units.</w:t>
      </w:r>
    </w:p>
    <w:p w:rsidR="00457EA8" w:rsidRPr="00AA7F05" w:rsidRDefault="00457EA8" w:rsidP="00457EA8">
      <w:pPr>
        <w:bidi w:val="0"/>
        <w:rPr>
          <w:rtl/>
        </w:rPr>
      </w:pPr>
    </w:p>
    <w:p w:rsidR="00CF3B3A" w:rsidRPr="00285179" w:rsidRDefault="00CF3B3A" w:rsidP="00CF3B3A">
      <w:pPr>
        <w:autoSpaceDE w:val="0"/>
        <w:autoSpaceDN w:val="0"/>
        <w:adjustRightInd w:val="0"/>
        <w:jc w:val="right"/>
        <w:rPr>
          <w:b/>
          <w:bCs/>
        </w:rPr>
      </w:pPr>
      <w:r w:rsidRPr="00285179">
        <w:rPr>
          <w:b/>
          <w:bCs/>
        </w:rPr>
        <w:t>1.2 Classifications</w:t>
      </w:r>
    </w:p>
    <w:p w:rsidR="00794F16" w:rsidRDefault="00794F16" w:rsidP="00794F16">
      <w:pPr>
        <w:tabs>
          <w:tab w:val="left" w:pos="426"/>
          <w:tab w:val="left" w:pos="709"/>
        </w:tabs>
        <w:bidi w:val="0"/>
      </w:pPr>
      <w:r>
        <w:t>Classifications used in the process of collection and processing of statistical data adopted by PCBS, According to international standards and with the Palestinian privacy. The following classifications were used in the preparation process of this report:</w:t>
      </w:r>
    </w:p>
    <w:p w:rsidR="00794F16" w:rsidRPr="00794F16" w:rsidRDefault="00CF3B3A" w:rsidP="00D32EEB">
      <w:pPr>
        <w:pStyle w:val="ListParagraph"/>
        <w:numPr>
          <w:ilvl w:val="0"/>
          <w:numId w:val="27"/>
        </w:numPr>
        <w:bidi w:val="0"/>
        <w:ind w:left="567" w:hanging="283"/>
      </w:pPr>
      <w:r w:rsidRPr="00794F16">
        <w:t xml:space="preserve">International Standard Industrial Classification of All Economic Activities </w:t>
      </w:r>
      <w:r w:rsidR="00794F16" w:rsidRPr="00794F16">
        <w:t xml:space="preserve"> </w:t>
      </w:r>
      <w:r w:rsidRPr="00794F16">
        <w:t xml:space="preserve">(ISIC-4) issued by the United Nations. </w:t>
      </w:r>
    </w:p>
    <w:p w:rsidR="00CF3B3A" w:rsidRPr="00794F16" w:rsidRDefault="00CF3B3A" w:rsidP="00D32EEB">
      <w:pPr>
        <w:pStyle w:val="ListParagraph"/>
        <w:numPr>
          <w:ilvl w:val="0"/>
          <w:numId w:val="27"/>
        </w:numPr>
        <w:bidi w:val="0"/>
        <w:ind w:left="567" w:hanging="283"/>
      </w:pPr>
      <w:r w:rsidRPr="00794F16">
        <w:t>System of National Accounts 2008 (SNA-2008) issued by the United Nations</w:t>
      </w:r>
      <w:r w:rsidRPr="00794F16">
        <w:rPr>
          <w:rFonts w:hint="cs"/>
          <w:rtl/>
        </w:rPr>
        <w:t>.</w:t>
      </w:r>
    </w:p>
    <w:p w:rsidR="00794F16" w:rsidRPr="00794F16" w:rsidRDefault="00794F16" w:rsidP="00D32EEB">
      <w:pPr>
        <w:pStyle w:val="ListParagraph"/>
        <w:numPr>
          <w:ilvl w:val="0"/>
          <w:numId w:val="27"/>
        </w:numPr>
        <w:bidi w:val="0"/>
        <w:ind w:left="567" w:hanging="283"/>
        <w:rPr>
          <w:rtl/>
        </w:rPr>
      </w:pPr>
      <w:r w:rsidRPr="00794F16">
        <w:t>Balance of Payments Manual (BPM5)</w:t>
      </w:r>
    </w:p>
    <w:p w:rsidR="00457EA8" w:rsidRDefault="00457EA8" w:rsidP="00CF3B3A">
      <w:pPr>
        <w:bidi w:val="0"/>
      </w:pPr>
    </w:p>
    <w:p w:rsidR="00457EA8" w:rsidRDefault="00457EA8" w:rsidP="00CF3B3A">
      <w:pPr>
        <w:bidi w:val="0"/>
      </w:pPr>
    </w:p>
    <w:p w:rsidR="00457EA8" w:rsidRDefault="00457EA8" w:rsidP="00457EA8">
      <w:pPr>
        <w:bidi w:val="0"/>
        <w:jc w:val="center"/>
      </w:pPr>
    </w:p>
    <w:p w:rsidR="00CF3B3A" w:rsidRDefault="00CF3B3A" w:rsidP="00CF3B3A">
      <w:pPr>
        <w:bidi w:val="0"/>
        <w:jc w:val="center"/>
      </w:pPr>
    </w:p>
    <w:p w:rsidR="00CF3B3A" w:rsidRDefault="00CF3B3A" w:rsidP="00CF3B3A">
      <w:pPr>
        <w:bidi w:val="0"/>
        <w:jc w:val="center"/>
      </w:pPr>
    </w:p>
    <w:p w:rsidR="00CF3B3A" w:rsidRDefault="00CF3B3A" w:rsidP="00CF3B3A">
      <w:pPr>
        <w:bidi w:val="0"/>
        <w:jc w:val="center"/>
      </w:pPr>
    </w:p>
    <w:p w:rsidR="00CF3B3A" w:rsidRDefault="00CF3B3A" w:rsidP="00CF3B3A">
      <w:pPr>
        <w:bidi w:val="0"/>
        <w:jc w:val="center"/>
      </w:pPr>
    </w:p>
    <w:p w:rsidR="00CF3B3A" w:rsidRDefault="00CF3B3A" w:rsidP="00CF3B3A">
      <w:pPr>
        <w:bidi w:val="0"/>
        <w:jc w:val="center"/>
      </w:pPr>
    </w:p>
    <w:p w:rsidR="00457EA8" w:rsidRDefault="00457EA8" w:rsidP="00457EA8">
      <w:pPr>
        <w:bidi w:val="0"/>
        <w:jc w:val="center"/>
      </w:pPr>
    </w:p>
    <w:p w:rsidR="003D7191" w:rsidRDefault="003D7191">
      <w:pPr>
        <w:bidi w:val="0"/>
      </w:pPr>
      <w:r>
        <w:br w:type="page"/>
      </w:r>
    </w:p>
    <w:p w:rsidR="009B22B0" w:rsidRDefault="009B22B0" w:rsidP="00CF3B3A">
      <w:pPr>
        <w:bidi w:val="0"/>
        <w:jc w:val="center"/>
      </w:pPr>
      <w:r>
        <w:lastRenderedPageBreak/>
        <w:t xml:space="preserve">Chapter </w:t>
      </w:r>
      <w:r w:rsidR="00CF3B3A">
        <w:t>Two</w:t>
      </w:r>
    </w:p>
    <w:p w:rsidR="00461B79" w:rsidRDefault="00461B79" w:rsidP="00461B79">
      <w:pPr>
        <w:bidi w:val="0"/>
        <w:jc w:val="center"/>
      </w:pPr>
    </w:p>
    <w:p w:rsidR="00461B79" w:rsidRDefault="00461B79" w:rsidP="00E47B8C">
      <w:pPr>
        <w:bidi w:val="0"/>
        <w:jc w:val="center"/>
        <w:rPr>
          <w:b/>
          <w:bCs/>
          <w:sz w:val="28"/>
          <w:szCs w:val="28"/>
        </w:rPr>
      </w:pPr>
      <w:r w:rsidRPr="00461B79">
        <w:rPr>
          <w:b/>
          <w:bCs/>
          <w:sz w:val="28"/>
          <w:szCs w:val="28"/>
        </w:rPr>
        <w:t>Main Findings</w:t>
      </w:r>
    </w:p>
    <w:p w:rsidR="005B44D2" w:rsidRPr="000C2A54" w:rsidRDefault="005B44D2" w:rsidP="005B44D2">
      <w:pPr>
        <w:bidi w:val="0"/>
        <w:jc w:val="center"/>
        <w:rPr>
          <w:b/>
          <w:bCs/>
        </w:rPr>
      </w:pPr>
    </w:p>
    <w:p w:rsidR="005B44D2" w:rsidRPr="005B44D2" w:rsidRDefault="005B44D2" w:rsidP="00EE6272">
      <w:pPr>
        <w:bidi w:val="0"/>
        <w:jc w:val="both"/>
      </w:pPr>
      <w:r w:rsidRPr="005B44D2">
        <w:t xml:space="preserve">This </w:t>
      </w:r>
      <w:r w:rsidR="006D7796">
        <w:t>chapter</w:t>
      </w:r>
      <w:r w:rsidRPr="005B44D2">
        <w:t xml:space="preserve"> </w:t>
      </w:r>
      <w:r w:rsidR="006D7796">
        <w:t>presents</w:t>
      </w:r>
      <w:r w:rsidRPr="005B44D2">
        <w:t xml:space="preserve"> the main result</w:t>
      </w:r>
      <w:r>
        <w:t>s</w:t>
      </w:r>
      <w:r w:rsidRPr="005B44D2">
        <w:t xml:space="preserve"> for national accounts for the year </w:t>
      </w:r>
      <w:r w:rsidR="00FB30D9">
        <w:t>2004</w:t>
      </w:r>
      <w:r w:rsidR="00AD6D02">
        <w:t>-</w:t>
      </w:r>
      <w:r w:rsidR="00FB30D9">
        <w:t>2018</w:t>
      </w:r>
      <w:r w:rsidRPr="005B44D2">
        <w:t xml:space="preserve">, </w:t>
      </w:r>
      <w:r w:rsidR="00772506">
        <w:t xml:space="preserve">that revised according to different factors as mentioned in </w:t>
      </w:r>
      <w:r w:rsidR="00EE6272">
        <w:t>the Methodology.</w:t>
      </w:r>
    </w:p>
    <w:p w:rsidR="00461B79" w:rsidRPr="00A01641" w:rsidRDefault="00461B79" w:rsidP="00461B79">
      <w:pPr>
        <w:pStyle w:val="Heading2"/>
        <w:rPr>
          <w:sz w:val="24"/>
          <w:szCs w:val="24"/>
        </w:rPr>
      </w:pPr>
    </w:p>
    <w:p w:rsidR="00461B79" w:rsidRPr="009D6C98" w:rsidRDefault="00CF3B3A" w:rsidP="00D27235">
      <w:pPr>
        <w:bidi w:val="0"/>
        <w:jc w:val="lowKashida"/>
        <w:rPr>
          <w:b/>
          <w:bCs/>
          <w:color w:val="000000" w:themeColor="text1"/>
        </w:rPr>
      </w:pPr>
      <w:r>
        <w:rPr>
          <w:b/>
          <w:bCs/>
          <w:color w:val="000000" w:themeColor="text1"/>
        </w:rPr>
        <w:t>2</w:t>
      </w:r>
      <w:r w:rsidR="000C58FD" w:rsidRPr="009D6C98">
        <w:rPr>
          <w:b/>
          <w:bCs/>
          <w:color w:val="000000" w:themeColor="text1"/>
        </w:rPr>
        <w:t>.1</w:t>
      </w:r>
      <w:r w:rsidR="00461B79" w:rsidRPr="009D6C98">
        <w:rPr>
          <w:b/>
          <w:bCs/>
          <w:color w:val="000000" w:themeColor="text1"/>
        </w:rPr>
        <w:t xml:space="preserve"> Basic National Accounts</w:t>
      </w:r>
    </w:p>
    <w:p w:rsidR="00930E59" w:rsidRPr="007D58D2" w:rsidRDefault="00461B79" w:rsidP="00CA74C9">
      <w:pPr>
        <w:bidi w:val="0"/>
        <w:jc w:val="lowKashida"/>
        <w:rPr>
          <w:color w:val="000000" w:themeColor="text1"/>
          <w:lang w:eastAsia="en-US"/>
        </w:rPr>
      </w:pPr>
      <w:r w:rsidRPr="009D6C98">
        <w:rPr>
          <w:color w:val="000000" w:themeColor="text1"/>
        </w:rPr>
        <w:t xml:space="preserve">The final findings of the </w:t>
      </w:r>
      <w:r w:rsidR="008504EA">
        <w:rPr>
          <w:color w:val="000000" w:themeColor="text1"/>
        </w:rPr>
        <w:t>N</w:t>
      </w:r>
      <w:r w:rsidRPr="009D6C98">
        <w:rPr>
          <w:color w:val="000000" w:themeColor="text1"/>
        </w:rPr>
        <w:t xml:space="preserve">ational </w:t>
      </w:r>
      <w:r w:rsidR="008504EA">
        <w:rPr>
          <w:color w:val="000000" w:themeColor="text1"/>
        </w:rPr>
        <w:t>A</w:t>
      </w:r>
      <w:r w:rsidRPr="009D6C98">
        <w:rPr>
          <w:color w:val="000000" w:themeColor="text1"/>
        </w:rPr>
        <w:t xml:space="preserve">ccounts </w:t>
      </w:r>
      <w:r w:rsidR="00957F97" w:rsidRPr="009D6C98">
        <w:rPr>
          <w:color w:val="000000" w:themeColor="text1"/>
        </w:rPr>
        <w:t xml:space="preserve">for </w:t>
      </w:r>
      <w:r w:rsidR="00FB30D9">
        <w:rPr>
          <w:color w:val="000000" w:themeColor="text1"/>
        </w:rPr>
        <w:t>2018</w:t>
      </w:r>
      <w:r w:rsidRPr="009D6C98">
        <w:rPr>
          <w:color w:val="000000" w:themeColor="text1"/>
        </w:rPr>
        <w:t xml:space="preserve"> show</w:t>
      </w:r>
      <w:r w:rsidR="006D7796">
        <w:rPr>
          <w:color w:val="000000" w:themeColor="text1"/>
        </w:rPr>
        <w:t>s</w:t>
      </w:r>
      <w:r w:rsidR="0087764A" w:rsidRPr="009D6C98">
        <w:rPr>
          <w:color w:val="000000" w:themeColor="text1"/>
        </w:rPr>
        <w:t xml:space="preserve"> </w:t>
      </w:r>
      <w:r w:rsidR="002A206F">
        <w:rPr>
          <w:color w:val="000000" w:themeColor="text1"/>
        </w:rPr>
        <w:t xml:space="preserve">that </w:t>
      </w:r>
      <w:r w:rsidRPr="009D6C98">
        <w:rPr>
          <w:color w:val="000000" w:themeColor="text1"/>
        </w:rPr>
        <w:t xml:space="preserve">GDP in </w:t>
      </w:r>
      <w:r w:rsidR="00A56942" w:rsidRPr="009D6C98">
        <w:rPr>
          <w:color w:val="000000" w:themeColor="text1"/>
        </w:rPr>
        <w:t>Palestine at</w:t>
      </w:r>
      <w:r w:rsidR="00957F97" w:rsidRPr="009D6C98">
        <w:rPr>
          <w:color w:val="000000" w:themeColor="text1"/>
        </w:rPr>
        <w:t xml:space="preserve"> constant prices </w:t>
      </w:r>
      <w:r w:rsidR="00EC05AF" w:rsidRPr="009D6C98">
        <w:rPr>
          <w:color w:val="000000" w:themeColor="text1"/>
          <w:lang w:eastAsia="en-US"/>
        </w:rPr>
        <w:t>was USD</w:t>
      </w:r>
      <w:r w:rsidRPr="009D6C98">
        <w:rPr>
          <w:color w:val="000000" w:themeColor="text1"/>
        </w:rPr>
        <w:t xml:space="preserve"> </w:t>
      </w:r>
      <w:r w:rsidR="006D2EF0">
        <w:rPr>
          <w:rFonts w:cs="Simplified Arabic"/>
          <w:color w:val="000000" w:themeColor="text1"/>
          <w:lang w:bidi="ar-JO"/>
        </w:rPr>
        <w:t>15</w:t>
      </w:r>
      <w:r w:rsidR="009105D6">
        <w:rPr>
          <w:rFonts w:cs="Simplified Arabic"/>
          <w:color w:val="000000" w:themeColor="text1"/>
        </w:rPr>
        <w:t>,</w:t>
      </w:r>
      <w:r w:rsidR="00CA74C9">
        <w:rPr>
          <w:rFonts w:cs="Simplified Arabic"/>
          <w:color w:val="000000" w:themeColor="text1"/>
          <w:lang w:bidi="ar-JO"/>
        </w:rPr>
        <w:t>616</w:t>
      </w:r>
      <w:r w:rsidR="00346AEC">
        <w:rPr>
          <w:rFonts w:cs="Simplified Arabic"/>
          <w:color w:val="000000" w:themeColor="text1"/>
          <w:lang w:bidi="ar-JO"/>
        </w:rPr>
        <w:t xml:space="preserve"> </w:t>
      </w:r>
      <w:r w:rsidRPr="009D6C98">
        <w:rPr>
          <w:color w:val="000000" w:themeColor="text1"/>
          <w:lang w:eastAsia="en-US"/>
        </w:rPr>
        <w:t xml:space="preserve">million during </w:t>
      </w:r>
      <w:r w:rsidR="00FB30D9">
        <w:rPr>
          <w:rFonts w:hint="cs"/>
          <w:color w:val="000000" w:themeColor="text1"/>
          <w:rtl/>
          <w:lang w:eastAsia="en-US"/>
        </w:rPr>
        <w:t>2018</w:t>
      </w:r>
      <w:r w:rsidR="008504EA">
        <w:rPr>
          <w:color w:val="000000" w:themeColor="text1"/>
          <w:lang w:eastAsia="en-US"/>
        </w:rPr>
        <w:t>,</w:t>
      </w:r>
      <w:r w:rsidRPr="009D6C98">
        <w:rPr>
          <w:color w:val="000000" w:themeColor="text1"/>
          <w:lang w:eastAsia="en-US"/>
        </w:rPr>
        <w:t xml:space="preserve"> reflecting </w:t>
      </w:r>
      <w:r w:rsidR="001E5BA0" w:rsidRPr="009D6C98">
        <w:rPr>
          <w:color w:val="000000" w:themeColor="text1"/>
          <w:lang w:eastAsia="en-US"/>
        </w:rPr>
        <w:t>a</w:t>
      </w:r>
      <w:r w:rsidR="001F1578">
        <w:rPr>
          <w:color w:val="000000" w:themeColor="text1"/>
          <w:lang w:eastAsia="en-US"/>
        </w:rPr>
        <w:t>n</w:t>
      </w:r>
      <w:r w:rsidRPr="009D6C98">
        <w:rPr>
          <w:color w:val="000000" w:themeColor="text1"/>
          <w:lang w:eastAsia="en-US"/>
        </w:rPr>
        <w:t xml:space="preserve"> </w:t>
      </w:r>
      <w:r w:rsidR="001F1578">
        <w:rPr>
          <w:color w:val="000000" w:themeColor="text1"/>
          <w:lang w:eastAsia="en-US"/>
        </w:rPr>
        <w:t>increase</w:t>
      </w:r>
      <w:r w:rsidRPr="009D6C98">
        <w:rPr>
          <w:color w:val="000000" w:themeColor="text1"/>
          <w:lang w:eastAsia="en-US"/>
        </w:rPr>
        <w:t xml:space="preserve"> of </w:t>
      </w:r>
      <w:r w:rsidR="00CA74C9">
        <w:rPr>
          <w:color w:val="000000" w:themeColor="text1"/>
          <w:lang w:eastAsia="en-US"/>
        </w:rPr>
        <w:t>1.2</w:t>
      </w:r>
      <w:r w:rsidR="006B43A3" w:rsidRPr="00DB4229">
        <w:rPr>
          <w:rFonts w:hint="cs"/>
          <w:color w:val="000000" w:themeColor="text1"/>
          <w:rtl/>
          <w:lang w:eastAsia="en-US"/>
        </w:rPr>
        <w:t>%</w:t>
      </w:r>
      <w:r w:rsidR="006B43A3" w:rsidRPr="006B43A3">
        <w:rPr>
          <w:rFonts w:hint="cs"/>
          <w:color w:val="000000" w:themeColor="text1"/>
          <w:rtl/>
          <w:lang w:eastAsia="en-US"/>
        </w:rPr>
        <w:t xml:space="preserve"> </w:t>
      </w:r>
      <w:r w:rsidR="006B43A3">
        <w:rPr>
          <w:color w:val="000000" w:themeColor="text1"/>
          <w:lang w:eastAsia="en-US"/>
        </w:rPr>
        <w:t xml:space="preserve"> </w:t>
      </w:r>
      <w:r w:rsidRPr="009D6C98">
        <w:rPr>
          <w:color w:val="000000" w:themeColor="text1"/>
          <w:lang w:eastAsia="en-US"/>
        </w:rPr>
        <w:t xml:space="preserve">compared </w:t>
      </w:r>
      <w:r w:rsidR="00AC26E6">
        <w:rPr>
          <w:color w:val="000000" w:themeColor="text1"/>
          <w:lang w:eastAsia="en-US"/>
        </w:rPr>
        <w:t>to</w:t>
      </w:r>
      <w:r w:rsidR="00AC26E6" w:rsidRPr="009D6C98">
        <w:rPr>
          <w:color w:val="000000" w:themeColor="text1"/>
          <w:lang w:eastAsia="en-US"/>
        </w:rPr>
        <w:t xml:space="preserve"> </w:t>
      </w:r>
      <w:r w:rsidR="00FB30D9">
        <w:rPr>
          <w:rFonts w:hint="cs"/>
          <w:color w:val="000000" w:themeColor="text1"/>
          <w:rtl/>
          <w:lang w:eastAsia="en-US"/>
        </w:rPr>
        <w:t>2017</w:t>
      </w:r>
      <w:r w:rsidRPr="009D6C98">
        <w:rPr>
          <w:color w:val="000000" w:themeColor="text1"/>
          <w:lang w:eastAsia="en-US"/>
        </w:rPr>
        <w:t xml:space="preserve">. </w:t>
      </w:r>
      <w:r w:rsidR="00842CB9" w:rsidRPr="00842CB9">
        <w:rPr>
          <w:color w:val="000000" w:themeColor="text1"/>
          <w:lang w:eastAsia="en-US"/>
        </w:rPr>
        <w:t xml:space="preserve">While </w:t>
      </w:r>
      <w:r w:rsidR="00930E59" w:rsidRPr="007D58D2">
        <w:rPr>
          <w:color w:val="000000" w:themeColor="text1"/>
          <w:lang w:eastAsia="en-US"/>
        </w:rPr>
        <w:t>G</w:t>
      </w:r>
      <w:r w:rsidR="009967D6">
        <w:rPr>
          <w:color w:val="000000" w:themeColor="text1"/>
          <w:lang w:eastAsia="en-US"/>
        </w:rPr>
        <w:t>NI</w:t>
      </w:r>
      <w:r w:rsidR="00930E59" w:rsidRPr="007D58D2">
        <w:rPr>
          <w:color w:val="000000" w:themeColor="text1"/>
          <w:lang w:eastAsia="en-US"/>
        </w:rPr>
        <w:t xml:space="preserve"> at constant prices in Palestine for </w:t>
      </w:r>
      <w:r w:rsidR="006D2EF0">
        <w:rPr>
          <w:color w:val="000000" w:themeColor="text1"/>
          <w:lang w:eastAsia="en-US"/>
        </w:rPr>
        <w:t>2018</w:t>
      </w:r>
      <w:r w:rsidR="00930E59" w:rsidRPr="007D58D2">
        <w:rPr>
          <w:color w:val="000000" w:themeColor="text1"/>
          <w:lang w:eastAsia="en-US"/>
        </w:rPr>
        <w:t xml:space="preserve"> was USD </w:t>
      </w:r>
      <w:r w:rsidR="00CA74C9">
        <w:rPr>
          <w:rFonts w:cs="Simplified Arabic"/>
          <w:color w:val="000000" w:themeColor="text1"/>
        </w:rPr>
        <w:t>18</w:t>
      </w:r>
      <w:r w:rsidR="009105D6">
        <w:rPr>
          <w:rFonts w:cs="Simplified Arabic"/>
          <w:color w:val="000000" w:themeColor="text1"/>
        </w:rPr>
        <w:t>,</w:t>
      </w:r>
      <w:r w:rsidR="00CA74C9">
        <w:rPr>
          <w:rFonts w:cs="Simplified Arabic"/>
          <w:color w:val="000000" w:themeColor="text1"/>
        </w:rPr>
        <w:t>122</w:t>
      </w:r>
      <w:r w:rsidR="00A57FB8">
        <w:rPr>
          <w:rFonts w:cs="Simplified Arabic"/>
          <w:color w:val="000000" w:themeColor="text1"/>
        </w:rPr>
        <w:t xml:space="preserve"> </w:t>
      </w:r>
      <w:r w:rsidR="00930E59" w:rsidRPr="007D58D2">
        <w:rPr>
          <w:color w:val="000000" w:themeColor="text1"/>
          <w:lang w:eastAsia="en-US"/>
        </w:rPr>
        <w:t>million</w:t>
      </w:r>
      <w:r w:rsidR="00921D12">
        <w:rPr>
          <w:color w:val="000000" w:themeColor="text1"/>
          <w:lang w:eastAsia="en-US"/>
        </w:rPr>
        <w:t>,</w:t>
      </w:r>
      <w:r w:rsidR="00930E59" w:rsidRPr="007D58D2">
        <w:rPr>
          <w:color w:val="000000" w:themeColor="text1"/>
          <w:lang w:eastAsia="en-US"/>
        </w:rPr>
        <w:t xml:space="preserve"> </w:t>
      </w:r>
      <w:r w:rsidR="00921D12">
        <w:rPr>
          <w:color w:val="000000" w:themeColor="text1"/>
          <w:lang w:eastAsia="en-US"/>
        </w:rPr>
        <w:t>marking</w:t>
      </w:r>
      <w:r w:rsidR="00930E59" w:rsidRPr="007D58D2">
        <w:rPr>
          <w:color w:val="000000" w:themeColor="text1"/>
          <w:lang w:eastAsia="en-US"/>
        </w:rPr>
        <w:t xml:space="preserve"> </w:t>
      </w:r>
      <w:r w:rsidR="001E5BA0">
        <w:rPr>
          <w:color w:val="000000" w:themeColor="text1"/>
          <w:lang w:eastAsia="en-US"/>
        </w:rPr>
        <w:t>a</w:t>
      </w:r>
      <w:r w:rsidR="00D4264C">
        <w:rPr>
          <w:color w:val="000000" w:themeColor="text1"/>
          <w:lang w:eastAsia="en-US"/>
        </w:rPr>
        <w:t>n increase</w:t>
      </w:r>
      <w:r w:rsidR="00930E59" w:rsidRPr="007D58D2">
        <w:rPr>
          <w:color w:val="000000" w:themeColor="text1"/>
          <w:lang w:eastAsia="en-US"/>
        </w:rPr>
        <w:t xml:space="preserve"> </w:t>
      </w:r>
      <w:r w:rsidR="00BB07AE">
        <w:rPr>
          <w:color w:val="000000" w:themeColor="text1"/>
          <w:lang w:eastAsia="en-US"/>
        </w:rPr>
        <w:t xml:space="preserve">of </w:t>
      </w:r>
      <w:r w:rsidR="00060A04">
        <w:rPr>
          <w:color w:val="000000" w:themeColor="text1"/>
          <w:lang w:eastAsia="en-US"/>
        </w:rPr>
        <w:t>4.</w:t>
      </w:r>
      <w:r w:rsidR="00CA74C9">
        <w:rPr>
          <w:color w:val="000000" w:themeColor="text1"/>
          <w:lang w:eastAsia="en-US"/>
        </w:rPr>
        <w:t>6</w:t>
      </w:r>
      <w:r w:rsidR="00930E59" w:rsidRPr="007D58D2">
        <w:rPr>
          <w:color w:val="000000" w:themeColor="text1"/>
          <w:lang w:eastAsia="en-US"/>
        </w:rPr>
        <w:t xml:space="preserve">% compared </w:t>
      </w:r>
      <w:r w:rsidR="00AC26E6">
        <w:rPr>
          <w:color w:val="000000" w:themeColor="text1"/>
          <w:lang w:eastAsia="en-US"/>
        </w:rPr>
        <w:t>to</w:t>
      </w:r>
      <w:r w:rsidR="00AC26E6" w:rsidRPr="007D58D2">
        <w:rPr>
          <w:color w:val="000000" w:themeColor="text1"/>
          <w:lang w:eastAsia="en-US"/>
        </w:rPr>
        <w:t xml:space="preserve"> </w:t>
      </w:r>
      <w:r w:rsidR="006D2EF0">
        <w:rPr>
          <w:color w:val="000000" w:themeColor="text1"/>
          <w:lang w:eastAsia="en-US"/>
        </w:rPr>
        <w:t>2017</w:t>
      </w:r>
      <w:r w:rsidR="00BB07AE">
        <w:rPr>
          <w:color w:val="000000" w:themeColor="text1"/>
          <w:lang w:eastAsia="en-US"/>
        </w:rPr>
        <w:t>;</w:t>
      </w:r>
      <w:r w:rsidR="00930E59" w:rsidRPr="007D58D2">
        <w:rPr>
          <w:color w:val="000000" w:themeColor="text1"/>
          <w:lang w:eastAsia="en-US"/>
        </w:rPr>
        <w:t xml:space="preserve"> </w:t>
      </w:r>
      <w:r w:rsidR="00407D44" w:rsidRPr="007D58D2">
        <w:rPr>
          <w:color w:val="000000" w:themeColor="text1"/>
          <w:lang w:eastAsia="en-US"/>
        </w:rPr>
        <w:t>GNDI was USD</w:t>
      </w:r>
      <w:r w:rsidR="006B43A3">
        <w:rPr>
          <w:rFonts w:hint="cs"/>
          <w:color w:val="000000" w:themeColor="text1"/>
          <w:rtl/>
          <w:lang w:eastAsia="en-US"/>
        </w:rPr>
        <w:t xml:space="preserve"> </w:t>
      </w:r>
      <w:r w:rsidR="0032702A">
        <w:rPr>
          <w:rFonts w:cs="Simplified Arabic"/>
          <w:color w:val="000000" w:themeColor="text1"/>
        </w:rPr>
        <w:t>19</w:t>
      </w:r>
      <w:r w:rsidR="00346AEC">
        <w:rPr>
          <w:rFonts w:cs="Simplified Arabic"/>
          <w:color w:val="000000" w:themeColor="text1"/>
        </w:rPr>
        <w:t>,</w:t>
      </w:r>
      <w:r w:rsidR="00CA74C9">
        <w:rPr>
          <w:rFonts w:cs="Simplified Arabic"/>
          <w:color w:val="000000" w:themeColor="text1"/>
        </w:rPr>
        <w:t>609</w:t>
      </w:r>
      <w:r w:rsidR="00A57FB8">
        <w:rPr>
          <w:rFonts w:cs="Simplified Arabic" w:hint="cs"/>
          <w:color w:val="000000" w:themeColor="text1"/>
          <w:rtl/>
        </w:rPr>
        <w:t xml:space="preserve"> </w:t>
      </w:r>
      <w:r w:rsidR="00407D44" w:rsidRPr="007D58D2">
        <w:rPr>
          <w:color w:val="000000" w:themeColor="text1"/>
          <w:lang w:eastAsia="en-US"/>
        </w:rPr>
        <w:t xml:space="preserve">million during </w:t>
      </w:r>
      <w:r w:rsidR="0032702A">
        <w:rPr>
          <w:color w:val="000000" w:themeColor="text1"/>
          <w:lang w:eastAsia="en-US"/>
        </w:rPr>
        <w:t>2018</w:t>
      </w:r>
      <w:r w:rsidR="00AC26E6">
        <w:rPr>
          <w:color w:val="000000" w:themeColor="text1"/>
          <w:lang w:eastAsia="en-US"/>
        </w:rPr>
        <w:t xml:space="preserve">, </w:t>
      </w:r>
      <w:r w:rsidR="009B1D1F">
        <w:rPr>
          <w:color w:val="000000" w:themeColor="text1"/>
          <w:lang w:eastAsia="en-US"/>
        </w:rPr>
        <w:t>marking</w:t>
      </w:r>
      <w:r w:rsidR="00454C8F">
        <w:rPr>
          <w:color w:val="000000" w:themeColor="text1"/>
          <w:lang w:eastAsia="en-US"/>
        </w:rPr>
        <w:t xml:space="preserve"> a</w:t>
      </w:r>
      <w:r w:rsidR="001E5BA0">
        <w:rPr>
          <w:color w:val="000000" w:themeColor="text1"/>
          <w:lang w:eastAsia="en-US"/>
        </w:rPr>
        <w:t>n increase</w:t>
      </w:r>
      <w:r w:rsidR="00407D44" w:rsidRPr="007D58D2">
        <w:rPr>
          <w:color w:val="000000" w:themeColor="text1"/>
          <w:lang w:eastAsia="en-US"/>
        </w:rPr>
        <w:t xml:space="preserve"> of </w:t>
      </w:r>
      <w:r w:rsidR="00CA74C9">
        <w:rPr>
          <w:color w:val="000000" w:themeColor="text1"/>
          <w:lang w:eastAsia="en-US"/>
        </w:rPr>
        <w:t>3.1</w:t>
      </w:r>
      <w:r w:rsidR="00407D44" w:rsidRPr="007D58D2">
        <w:rPr>
          <w:color w:val="000000" w:themeColor="text1"/>
          <w:lang w:eastAsia="en-US"/>
        </w:rPr>
        <w:t xml:space="preserve">% compared with </w:t>
      </w:r>
      <w:r w:rsidR="0032702A">
        <w:rPr>
          <w:rFonts w:hint="cs"/>
          <w:color w:val="000000" w:themeColor="text1"/>
          <w:rtl/>
          <w:lang w:eastAsia="en-US"/>
        </w:rPr>
        <w:t>2017</w:t>
      </w:r>
      <w:r w:rsidR="00084C95">
        <w:rPr>
          <w:color w:val="000000" w:themeColor="text1"/>
          <w:lang w:eastAsia="en-US"/>
        </w:rPr>
        <w:t>.</w:t>
      </w:r>
      <w:r w:rsidR="00BB0F82" w:rsidRPr="007D58D2">
        <w:rPr>
          <w:color w:val="000000" w:themeColor="text1"/>
          <w:lang w:eastAsia="en-US"/>
        </w:rPr>
        <w:t xml:space="preserve"> </w:t>
      </w:r>
    </w:p>
    <w:p w:rsidR="00C10793" w:rsidRPr="00A01641" w:rsidRDefault="00C10793" w:rsidP="00E161FF">
      <w:pPr>
        <w:bidi w:val="0"/>
        <w:jc w:val="lowKashida"/>
        <w:rPr>
          <w:lang w:eastAsia="en-US"/>
        </w:rPr>
      </w:pPr>
    </w:p>
    <w:p w:rsidR="00AD3354" w:rsidRDefault="00CF3B3A" w:rsidP="00D831CF">
      <w:pPr>
        <w:bidi w:val="0"/>
        <w:jc w:val="lowKashida"/>
        <w:rPr>
          <w:b/>
          <w:bCs/>
          <w:snapToGrid w:val="0"/>
        </w:rPr>
      </w:pPr>
      <w:r>
        <w:rPr>
          <w:b/>
          <w:bCs/>
          <w:color w:val="000000" w:themeColor="text1"/>
        </w:rPr>
        <w:t>2</w:t>
      </w:r>
      <w:r w:rsidR="00C10793" w:rsidRPr="00C10793">
        <w:rPr>
          <w:b/>
          <w:bCs/>
          <w:color w:val="000000" w:themeColor="text1"/>
        </w:rPr>
        <w:t>.1.1.</w:t>
      </w:r>
      <w:r w:rsidR="00461B79" w:rsidRPr="00C10793">
        <w:rPr>
          <w:b/>
          <w:bCs/>
          <w:color w:val="000000" w:themeColor="text1"/>
        </w:rPr>
        <w:t xml:space="preserve"> Percentage</w:t>
      </w:r>
      <w:r w:rsidR="00461B79">
        <w:rPr>
          <w:b/>
          <w:bCs/>
          <w:snapToGrid w:val="0"/>
        </w:rPr>
        <w:t xml:space="preserve"> Contribution to GDP </w:t>
      </w:r>
      <w:r w:rsidR="00710338">
        <w:rPr>
          <w:b/>
          <w:bCs/>
          <w:snapToGrid w:val="0"/>
        </w:rPr>
        <w:t>at current prices for year 2018</w:t>
      </w:r>
    </w:p>
    <w:p w:rsidR="00461B79" w:rsidRPr="00715246" w:rsidRDefault="007165C3" w:rsidP="004957DC">
      <w:pPr>
        <w:bidi w:val="0"/>
        <w:jc w:val="lowKashida"/>
        <w:rPr>
          <w:snapToGrid w:val="0"/>
        </w:rPr>
      </w:pPr>
      <w:r w:rsidRPr="00715246">
        <w:rPr>
          <w:snapToGrid w:val="0"/>
        </w:rPr>
        <w:t xml:space="preserve">Wholesale and retail trade, repair of motor vehicles and motorcycles contributed </w:t>
      </w:r>
      <w:r w:rsidR="004B74E3">
        <w:rPr>
          <w:snapToGrid w:val="0"/>
        </w:rPr>
        <w:t>22.</w:t>
      </w:r>
      <w:r w:rsidR="00CA74C9">
        <w:rPr>
          <w:snapToGrid w:val="0"/>
        </w:rPr>
        <w:t>2</w:t>
      </w:r>
      <w:r w:rsidRPr="00715246">
        <w:rPr>
          <w:snapToGrid w:val="0"/>
        </w:rPr>
        <w:t xml:space="preserve">% to the GDP. </w:t>
      </w:r>
      <w:r w:rsidR="00B35DBD" w:rsidRPr="00715246">
        <w:t xml:space="preserve">The </w:t>
      </w:r>
      <w:r w:rsidR="00461B79" w:rsidRPr="00715246">
        <w:rPr>
          <w:snapToGrid w:val="0"/>
        </w:rPr>
        <w:t>Palestinian economy is service-oriented</w:t>
      </w:r>
      <w:r w:rsidR="00545E3F" w:rsidRPr="00715246">
        <w:rPr>
          <w:snapToGrid w:val="0"/>
        </w:rPr>
        <w:t xml:space="preserve"> </w:t>
      </w:r>
      <w:r w:rsidR="00AC26E6" w:rsidRPr="00715246">
        <w:rPr>
          <w:snapToGrid w:val="0"/>
        </w:rPr>
        <w:t xml:space="preserve">with </w:t>
      </w:r>
      <w:r w:rsidR="00313C34" w:rsidRPr="00715246">
        <w:rPr>
          <w:snapToGrid w:val="0"/>
        </w:rPr>
        <w:t xml:space="preserve">services </w:t>
      </w:r>
      <w:r w:rsidR="00461B79" w:rsidRPr="00715246">
        <w:rPr>
          <w:snapToGrid w:val="0"/>
        </w:rPr>
        <w:t>contribut</w:t>
      </w:r>
      <w:r w:rsidR="00AC26E6" w:rsidRPr="00715246">
        <w:rPr>
          <w:snapToGrid w:val="0"/>
        </w:rPr>
        <w:t>ing</w:t>
      </w:r>
      <w:r w:rsidR="00B35DBD" w:rsidRPr="00715246">
        <w:rPr>
          <w:snapToGrid w:val="0"/>
        </w:rPr>
        <w:t xml:space="preserve"> </w:t>
      </w:r>
      <w:r w:rsidR="004B74E3">
        <w:rPr>
          <w:snapToGrid w:val="0"/>
        </w:rPr>
        <w:t>20</w:t>
      </w:r>
      <w:r w:rsidR="00B35DBD" w:rsidRPr="00715246">
        <w:rPr>
          <w:snapToGrid w:val="0"/>
        </w:rPr>
        <w:t xml:space="preserve">% </w:t>
      </w:r>
      <w:r w:rsidR="00AC26E6" w:rsidRPr="00715246">
        <w:rPr>
          <w:snapToGrid w:val="0"/>
        </w:rPr>
        <w:t xml:space="preserve">of </w:t>
      </w:r>
      <w:r w:rsidR="00461B79" w:rsidRPr="00715246">
        <w:rPr>
          <w:snapToGrid w:val="0"/>
        </w:rPr>
        <w:t>GDP</w:t>
      </w:r>
      <w:r w:rsidR="00642B9B" w:rsidRPr="00715246">
        <w:rPr>
          <w:snapToGrid w:val="0"/>
        </w:rPr>
        <w:t xml:space="preserve"> at c</w:t>
      </w:r>
      <w:r w:rsidR="004A61BD" w:rsidRPr="00715246">
        <w:rPr>
          <w:snapToGrid w:val="0"/>
        </w:rPr>
        <w:t>urrent</w:t>
      </w:r>
      <w:r w:rsidR="00642B9B" w:rsidRPr="00715246">
        <w:rPr>
          <w:snapToGrid w:val="0"/>
        </w:rPr>
        <w:t xml:space="preserve"> prices</w:t>
      </w:r>
      <w:r w:rsidR="00B35DBD" w:rsidRPr="00715246">
        <w:rPr>
          <w:snapToGrid w:val="0"/>
        </w:rPr>
        <w:t xml:space="preserve"> in </w:t>
      </w:r>
      <w:r w:rsidR="004B74E3">
        <w:rPr>
          <w:snapToGrid w:val="0"/>
        </w:rPr>
        <w:t>2018</w:t>
      </w:r>
      <w:r w:rsidR="008504EA" w:rsidRPr="00715246">
        <w:rPr>
          <w:snapToGrid w:val="0"/>
        </w:rPr>
        <w:t>.</w:t>
      </w:r>
      <w:r w:rsidR="00461B79" w:rsidRPr="00715246">
        <w:rPr>
          <w:snapToGrid w:val="0"/>
        </w:rPr>
        <w:t xml:space="preserve"> (</w:t>
      </w:r>
      <w:r w:rsidR="00E60251" w:rsidRPr="00715246">
        <w:rPr>
          <w:snapToGrid w:val="0"/>
        </w:rPr>
        <w:t>which</w:t>
      </w:r>
      <w:r w:rsidR="008504EA" w:rsidRPr="00715246">
        <w:rPr>
          <w:snapToGrid w:val="0"/>
        </w:rPr>
        <w:t xml:space="preserve"> </w:t>
      </w:r>
      <w:r w:rsidR="00B35DBD" w:rsidRPr="00715246">
        <w:rPr>
          <w:snapToGrid w:val="0"/>
        </w:rPr>
        <w:t xml:space="preserve">includes </w:t>
      </w:r>
      <w:r w:rsidR="004C4932" w:rsidRPr="00715246">
        <w:rPr>
          <w:snapToGrid w:val="0"/>
        </w:rPr>
        <w:t>the following activities:</w:t>
      </w:r>
      <w:r w:rsidR="00461B79" w:rsidRPr="00715246">
        <w:rPr>
          <w:snapToGrid w:val="0"/>
        </w:rPr>
        <w:t xml:space="preserve"> real estate</w:t>
      </w:r>
      <w:r w:rsidR="00A3236C" w:rsidRPr="00715246">
        <w:rPr>
          <w:snapToGrid w:val="0"/>
        </w:rPr>
        <w:t>;</w:t>
      </w:r>
      <w:r w:rsidR="00461B79" w:rsidRPr="00715246">
        <w:rPr>
          <w:snapToGrid w:val="0"/>
        </w:rPr>
        <w:t xml:space="preserve"> </w:t>
      </w:r>
      <w:r w:rsidR="00B35DBD" w:rsidRPr="00715246">
        <w:rPr>
          <w:snapToGrid w:val="0"/>
        </w:rPr>
        <w:t>p</w:t>
      </w:r>
      <w:r w:rsidR="005B4620" w:rsidRPr="00715246">
        <w:rPr>
          <w:snapToGrid w:val="0"/>
        </w:rPr>
        <w:t>rofessional, scientific and technical activities</w:t>
      </w:r>
      <w:r w:rsidR="00A3236C" w:rsidRPr="00715246">
        <w:rPr>
          <w:snapToGrid w:val="0"/>
        </w:rPr>
        <w:t>;</w:t>
      </w:r>
      <w:r w:rsidR="005B4620" w:rsidRPr="00715246">
        <w:t xml:space="preserve"> </w:t>
      </w:r>
      <w:r w:rsidR="00545E3F" w:rsidRPr="00715246">
        <w:rPr>
          <w:snapToGrid w:val="0"/>
        </w:rPr>
        <w:t xml:space="preserve">accommodation </w:t>
      </w:r>
      <w:r w:rsidR="005B4620" w:rsidRPr="00715246">
        <w:rPr>
          <w:snapToGrid w:val="0"/>
        </w:rPr>
        <w:t>and food service activities</w:t>
      </w:r>
      <w:r w:rsidR="00A3236C" w:rsidRPr="00715246">
        <w:rPr>
          <w:snapToGrid w:val="0"/>
        </w:rPr>
        <w:t>;</w:t>
      </w:r>
      <w:r w:rsidR="005B4620" w:rsidRPr="00715246">
        <w:t xml:space="preserve"> </w:t>
      </w:r>
      <w:r w:rsidR="00B35DBD" w:rsidRPr="00715246">
        <w:t>e</w:t>
      </w:r>
      <w:r w:rsidR="005B4620" w:rsidRPr="00715246">
        <w:rPr>
          <w:snapToGrid w:val="0"/>
        </w:rPr>
        <w:t>ducation</w:t>
      </w:r>
      <w:r w:rsidR="00A3236C" w:rsidRPr="00715246">
        <w:rPr>
          <w:snapToGrid w:val="0"/>
        </w:rPr>
        <w:t>;</w:t>
      </w:r>
      <w:r w:rsidR="005B4620" w:rsidRPr="00715246">
        <w:rPr>
          <w:snapToGrid w:val="0"/>
        </w:rPr>
        <w:t xml:space="preserve"> </w:t>
      </w:r>
      <w:r w:rsidR="00545E3F" w:rsidRPr="00715246">
        <w:rPr>
          <w:snapToGrid w:val="0"/>
        </w:rPr>
        <w:t xml:space="preserve">human </w:t>
      </w:r>
      <w:r w:rsidR="005B4620" w:rsidRPr="00715246">
        <w:rPr>
          <w:snapToGrid w:val="0"/>
        </w:rPr>
        <w:t>health and social work activities</w:t>
      </w:r>
      <w:r w:rsidR="00A3236C" w:rsidRPr="00715246">
        <w:rPr>
          <w:snapToGrid w:val="0"/>
        </w:rPr>
        <w:t>;</w:t>
      </w:r>
      <w:r w:rsidR="005B4620" w:rsidRPr="00715246">
        <w:rPr>
          <w:snapToGrid w:val="0"/>
        </w:rPr>
        <w:t xml:space="preserve"> </w:t>
      </w:r>
      <w:r w:rsidR="00751D89" w:rsidRPr="00715246">
        <w:rPr>
          <w:snapToGrid w:val="0"/>
        </w:rPr>
        <w:t>arts</w:t>
      </w:r>
      <w:r w:rsidR="00A3236C" w:rsidRPr="00715246">
        <w:rPr>
          <w:snapToGrid w:val="0"/>
        </w:rPr>
        <w:t>;</w:t>
      </w:r>
      <w:r w:rsidR="005B4620" w:rsidRPr="00715246">
        <w:rPr>
          <w:snapToGrid w:val="0"/>
        </w:rPr>
        <w:t xml:space="preserve"> entertainment and recreation</w:t>
      </w:r>
      <w:r w:rsidR="009655C2" w:rsidRPr="00715246">
        <w:rPr>
          <w:snapToGrid w:val="0"/>
        </w:rPr>
        <w:t>;</w:t>
      </w:r>
      <w:r w:rsidR="00751D89" w:rsidRPr="00715246">
        <w:rPr>
          <w:snapToGrid w:val="0"/>
        </w:rPr>
        <w:t xml:space="preserve"> and</w:t>
      </w:r>
      <w:r w:rsidR="005B4620" w:rsidRPr="00715246">
        <w:t xml:space="preserve"> </w:t>
      </w:r>
      <w:r w:rsidR="00751D89" w:rsidRPr="00715246">
        <w:rPr>
          <w:snapToGrid w:val="0"/>
        </w:rPr>
        <w:t xml:space="preserve">other </w:t>
      </w:r>
      <w:r w:rsidR="005B4620" w:rsidRPr="00715246">
        <w:rPr>
          <w:snapToGrid w:val="0"/>
        </w:rPr>
        <w:t>service activities</w:t>
      </w:r>
      <w:r w:rsidR="005E5EFB" w:rsidRPr="00715246">
        <w:rPr>
          <w:snapToGrid w:val="0"/>
        </w:rPr>
        <w:t>).</w:t>
      </w:r>
      <w:r w:rsidR="00597B7E" w:rsidRPr="00715246">
        <w:rPr>
          <w:snapToGrid w:val="0"/>
        </w:rPr>
        <w:t xml:space="preserve">, </w:t>
      </w:r>
      <w:r w:rsidRPr="00715246">
        <w:rPr>
          <w:snapToGrid w:val="0"/>
        </w:rPr>
        <w:t>Industrial activities</w:t>
      </w:r>
      <w:r w:rsidRPr="00715246">
        <w:t xml:space="preserve"> </w:t>
      </w:r>
      <w:r w:rsidR="00597B7E" w:rsidRPr="00715246">
        <w:rPr>
          <w:snapToGrid w:val="0"/>
        </w:rPr>
        <w:t>which include mining, manufacturing, electricity, gas, steam and air conditioning supply,</w:t>
      </w:r>
      <w:r w:rsidR="00597B7E" w:rsidRPr="00715246">
        <w:t xml:space="preserve"> </w:t>
      </w:r>
      <w:r w:rsidR="00597B7E" w:rsidRPr="00715246">
        <w:rPr>
          <w:snapToGrid w:val="0"/>
        </w:rPr>
        <w:t xml:space="preserve">water supply, sewerage, waste management and remediation activities contributed </w:t>
      </w:r>
      <w:r w:rsidRPr="00715246">
        <w:rPr>
          <w:snapToGrid w:val="0"/>
        </w:rPr>
        <w:t>13.</w:t>
      </w:r>
      <w:r w:rsidR="004957DC">
        <w:rPr>
          <w:snapToGrid w:val="0"/>
        </w:rPr>
        <w:t>2</w:t>
      </w:r>
      <w:r w:rsidR="00597B7E" w:rsidRPr="00715246">
        <w:rPr>
          <w:snapToGrid w:val="0"/>
        </w:rPr>
        <w:t xml:space="preserve">%. </w:t>
      </w:r>
      <w:r w:rsidR="001E5BA0" w:rsidRPr="00715246">
        <w:rPr>
          <w:snapToGrid w:val="0"/>
        </w:rPr>
        <w:t xml:space="preserve">Public administration and defense activities contributed </w:t>
      </w:r>
      <w:r w:rsidR="004B74E3">
        <w:rPr>
          <w:snapToGrid w:val="0"/>
        </w:rPr>
        <w:t>8.5</w:t>
      </w:r>
      <w:r w:rsidR="001E5BA0" w:rsidRPr="00715246">
        <w:rPr>
          <w:snapToGrid w:val="0"/>
        </w:rPr>
        <w:t>%</w:t>
      </w:r>
      <w:r w:rsidR="00B06702" w:rsidRPr="00715246">
        <w:rPr>
          <w:snapToGrid w:val="0"/>
        </w:rPr>
        <w:t>,</w:t>
      </w:r>
      <w:r w:rsidR="00597B7E" w:rsidRPr="00715246">
        <w:rPr>
          <w:snapToGrid w:val="0"/>
        </w:rPr>
        <w:t xml:space="preserve"> </w:t>
      </w:r>
      <w:r w:rsidR="009C6221" w:rsidRPr="00715246">
        <w:rPr>
          <w:snapToGrid w:val="0"/>
        </w:rPr>
        <w:t xml:space="preserve">while </w:t>
      </w:r>
      <w:r w:rsidR="00597B7E" w:rsidRPr="00715246">
        <w:rPr>
          <w:snapToGrid w:val="0"/>
        </w:rPr>
        <w:t>agriculture, forestry and fishing</w:t>
      </w:r>
      <w:r w:rsidR="009C6221" w:rsidRPr="00715246">
        <w:rPr>
          <w:snapToGrid w:val="0"/>
        </w:rPr>
        <w:t xml:space="preserve"> contributed </w:t>
      </w:r>
      <w:r w:rsidR="004957DC">
        <w:rPr>
          <w:snapToGrid w:val="0"/>
        </w:rPr>
        <w:t>7</w:t>
      </w:r>
      <w:r w:rsidR="006B43A3" w:rsidRPr="00715246">
        <w:rPr>
          <w:rFonts w:hint="cs"/>
          <w:snapToGrid w:val="0"/>
          <w:rtl/>
        </w:rPr>
        <w:t>.</w:t>
      </w:r>
      <w:r w:rsidRPr="00715246">
        <w:rPr>
          <w:snapToGrid w:val="0"/>
        </w:rPr>
        <w:t>4</w:t>
      </w:r>
      <w:r w:rsidR="0082038F" w:rsidRPr="00715246">
        <w:rPr>
          <w:snapToGrid w:val="0"/>
        </w:rPr>
        <w:t xml:space="preserve">% </w:t>
      </w:r>
      <w:r w:rsidR="008504EA" w:rsidRPr="00715246">
        <w:rPr>
          <w:snapToGrid w:val="0"/>
        </w:rPr>
        <w:t>to</w:t>
      </w:r>
      <w:r w:rsidR="00957F97" w:rsidRPr="00715246">
        <w:rPr>
          <w:snapToGrid w:val="0"/>
        </w:rPr>
        <w:t xml:space="preserve"> GDP</w:t>
      </w:r>
      <w:r w:rsidR="007340B6" w:rsidRPr="00715246">
        <w:rPr>
          <w:snapToGrid w:val="0"/>
        </w:rPr>
        <w:t>.</w:t>
      </w:r>
      <w:r w:rsidR="00461B79" w:rsidRPr="00715246">
        <w:rPr>
          <w:snapToGrid w:val="0"/>
        </w:rPr>
        <w:t xml:space="preserve"> </w:t>
      </w:r>
      <w:r w:rsidR="0056633B" w:rsidRPr="00715246">
        <w:rPr>
          <w:snapToGrid w:val="0"/>
        </w:rPr>
        <w:t xml:space="preserve">Transportation and </w:t>
      </w:r>
      <w:r w:rsidR="00E1699F" w:rsidRPr="00715246">
        <w:rPr>
          <w:snapToGrid w:val="0"/>
        </w:rPr>
        <w:t xml:space="preserve">storage </w:t>
      </w:r>
      <w:r w:rsidR="00957F97" w:rsidRPr="00715246">
        <w:rPr>
          <w:snapToGrid w:val="0"/>
        </w:rPr>
        <w:t>activities</w:t>
      </w:r>
      <w:r w:rsidR="00461B79" w:rsidRPr="00715246">
        <w:rPr>
          <w:snapToGrid w:val="0"/>
        </w:rPr>
        <w:t xml:space="preserve"> formed the lowest contribution </w:t>
      </w:r>
      <w:r w:rsidR="007340B6" w:rsidRPr="00715246">
        <w:rPr>
          <w:snapToGrid w:val="0"/>
        </w:rPr>
        <w:t>of</w:t>
      </w:r>
      <w:r w:rsidR="00461B79" w:rsidRPr="00715246">
        <w:rPr>
          <w:snapToGrid w:val="0"/>
        </w:rPr>
        <w:t xml:space="preserve"> </w:t>
      </w:r>
      <w:r w:rsidRPr="00715246">
        <w:rPr>
          <w:snapToGrid w:val="0"/>
        </w:rPr>
        <w:t>1.</w:t>
      </w:r>
      <w:r w:rsidR="004B74E3">
        <w:rPr>
          <w:snapToGrid w:val="0"/>
        </w:rPr>
        <w:t>8</w:t>
      </w:r>
      <w:r w:rsidR="00461B79" w:rsidRPr="00715246">
        <w:rPr>
          <w:snapToGrid w:val="0"/>
        </w:rPr>
        <w:t>%.</w:t>
      </w:r>
    </w:p>
    <w:p w:rsidR="00013391" w:rsidRPr="007165C3" w:rsidRDefault="00013391" w:rsidP="00F77E79">
      <w:pPr>
        <w:bidi w:val="0"/>
        <w:jc w:val="center"/>
        <w:rPr>
          <w:rFonts w:asciiTheme="minorBidi" w:hAnsiTheme="minorBidi" w:cstheme="minorBidi"/>
          <w:b/>
          <w:bCs/>
          <w:snapToGrid w:val="0"/>
          <w:color w:val="FF0000"/>
        </w:rPr>
      </w:pPr>
    </w:p>
    <w:p w:rsidR="00A01641" w:rsidRDefault="00203B09" w:rsidP="004B74E3">
      <w:pPr>
        <w:bidi w:val="0"/>
        <w:jc w:val="center"/>
        <w:rPr>
          <w:rFonts w:ascii="Arial" w:hAnsi="Arial" w:cs="Arial"/>
          <w:b/>
          <w:bCs/>
          <w:snapToGrid w:val="0"/>
          <w:sz w:val="22"/>
          <w:szCs w:val="22"/>
        </w:rPr>
      </w:pPr>
      <w:r w:rsidRPr="00C642DD">
        <w:rPr>
          <w:rFonts w:ascii="Arial" w:hAnsi="Arial" w:cs="Arial"/>
          <w:b/>
          <w:bCs/>
          <w:snapToGrid w:val="0"/>
          <w:sz w:val="22"/>
          <w:szCs w:val="22"/>
        </w:rPr>
        <w:t xml:space="preserve">Percentage contribution </w:t>
      </w:r>
      <w:r w:rsidR="008504EA" w:rsidRPr="00C642DD">
        <w:rPr>
          <w:rFonts w:ascii="Arial" w:hAnsi="Arial" w:cs="Arial"/>
          <w:b/>
          <w:bCs/>
          <w:snapToGrid w:val="0"/>
          <w:sz w:val="22"/>
          <w:szCs w:val="22"/>
        </w:rPr>
        <w:t>o</w:t>
      </w:r>
      <w:r w:rsidRPr="00C642DD">
        <w:rPr>
          <w:rFonts w:ascii="Arial" w:hAnsi="Arial" w:cs="Arial"/>
          <w:b/>
          <w:bCs/>
          <w:snapToGrid w:val="0"/>
          <w:sz w:val="22"/>
          <w:szCs w:val="22"/>
        </w:rPr>
        <w:t xml:space="preserve">f economic activity </w:t>
      </w:r>
      <w:r w:rsidR="00260CFE" w:rsidRPr="00C642DD">
        <w:rPr>
          <w:rFonts w:ascii="Arial" w:hAnsi="Arial" w:cs="Arial"/>
          <w:b/>
          <w:bCs/>
          <w:snapToGrid w:val="0"/>
          <w:sz w:val="22"/>
          <w:szCs w:val="22"/>
        </w:rPr>
        <w:t>to</w:t>
      </w:r>
      <w:r w:rsidR="00461B79" w:rsidRPr="00C642DD">
        <w:rPr>
          <w:rFonts w:ascii="Arial" w:hAnsi="Arial" w:cs="Arial"/>
          <w:b/>
          <w:bCs/>
          <w:snapToGrid w:val="0"/>
          <w:sz w:val="22"/>
          <w:szCs w:val="22"/>
        </w:rPr>
        <w:t xml:space="preserve"> GDP </w:t>
      </w:r>
      <w:r w:rsidR="00DE3BFF" w:rsidRPr="00C642DD">
        <w:rPr>
          <w:rFonts w:ascii="Arial" w:hAnsi="Arial" w:cs="Arial"/>
          <w:b/>
          <w:bCs/>
          <w:snapToGrid w:val="0"/>
          <w:sz w:val="22"/>
          <w:szCs w:val="22"/>
        </w:rPr>
        <w:t>in Palestine</w:t>
      </w:r>
      <w:r w:rsidR="00F530F9" w:rsidRPr="00C642DD">
        <w:rPr>
          <w:rFonts w:ascii="Arial" w:hAnsi="Arial" w:cs="Arial"/>
          <w:b/>
          <w:bCs/>
          <w:snapToGrid w:val="0"/>
          <w:sz w:val="22"/>
          <w:szCs w:val="22"/>
        </w:rPr>
        <w:t>*</w:t>
      </w:r>
      <w:r w:rsidRPr="00C642DD">
        <w:rPr>
          <w:rFonts w:ascii="Arial" w:hAnsi="Arial" w:cs="Arial"/>
          <w:b/>
          <w:bCs/>
          <w:snapToGrid w:val="0"/>
          <w:sz w:val="22"/>
          <w:szCs w:val="22"/>
        </w:rPr>
        <w:t xml:space="preserve"> </w:t>
      </w:r>
      <w:r w:rsidR="00461B79" w:rsidRPr="00BE34EA">
        <w:rPr>
          <w:rFonts w:ascii="Arial" w:hAnsi="Arial" w:cs="Arial"/>
          <w:b/>
          <w:bCs/>
          <w:snapToGrid w:val="0"/>
          <w:color w:val="000000" w:themeColor="text1"/>
          <w:sz w:val="22"/>
          <w:szCs w:val="22"/>
        </w:rPr>
        <w:t xml:space="preserve">for </w:t>
      </w:r>
      <w:r w:rsidR="004B74E3">
        <w:rPr>
          <w:rFonts w:ascii="Arial" w:hAnsi="Arial" w:cs="Arial"/>
          <w:b/>
          <w:bCs/>
          <w:snapToGrid w:val="0"/>
          <w:color w:val="000000" w:themeColor="text1"/>
          <w:sz w:val="22"/>
          <w:szCs w:val="22"/>
          <w:lang w:val="en-GB"/>
        </w:rPr>
        <w:t>2018</w:t>
      </w:r>
      <w:r w:rsidR="0007072F" w:rsidRPr="00C642DD">
        <w:rPr>
          <w:rFonts w:ascii="Arial" w:hAnsi="Arial" w:cs="Arial"/>
          <w:b/>
          <w:bCs/>
          <w:snapToGrid w:val="0"/>
          <w:sz w:val="22"/>
          <w:szCs w:val="22"/>
        </w:rPr>
        <w:t xml:space="preserve"> </w:t>
      </w:r>
    </w:p>
    <w:p w:rsidR="008F6F53" w:rsidRPr="00C642DD" w:rsidRDefault="00461B79" w:rsidP="00A01641">
      <w:pPr>
        <w:bidi w:val="0"/>
        <w:jc w:val="center"/>
        <w:rPr>
          <w:rFonts w:ascii="Arial" w:hAnsi="Arial" w:cs="Arial"/>
          <w:b/>
          <w:bCs/>
          <w:sz w:val="22"/>
          <w:szCs w:val="22"/>
        </w:rPr>
      </w:pPr>
      <w:r w:rsidRPr="00C642DD">
        <w:rPr>
          <w:rFonts w:ascii="Arial" w:hAnsi="Arial" w:cs="Arial"/>
          <w:b/>
          <w:bCs/>
          <w:snapToGrid w:val="0"/>
          <w:sz w:val="22"/>
          <w:szCs w:val="22"/>
        </w:rPr>
        <w:t xml:space="preserve">at </w:t>
      </w:r>
      <w:r w:rsidR="00F77E79" w:rsidRPr="00C642DD">
        <w:rPr>
          <w:rFonts w:ascii="Arial" w:hAnsi="Arial" w:cs="Arial"/>
          <w:b/>
          <w:bCs/>
          <w:snapToGrid w:val="0"/>
          <w:sz w:val="22"/>
          <w:szCs w:val="22"/>
        </w:rPr>
        <w:t>current</w:t>
      </w:r>
      <w:r w:rsidR="00013391" w:rsidRPr="00C642DD">
        <w:rPr>
          <w:rFonts w:ascii="Arial" w:hAnsi="Arial" w:cs="Arial"/>
          <w:b/>
          <w:bCs/>
          <w:sz w:val="22"/>
          <w:szCs w:val="22"/>
        </w:rPr>
        <w:t xml:space="preserve"> prices</w:t>
      </w:r>
    </w:p>
    <w:tbl>
      <w:tblPr>
        <w:tblStyle w:val="TableGrid"/>
        <w:tblW w:w="0" w:type="auto"/>
        <w:jc w:val="center"/>
        <w:tblLook w:val="04A0"/>
      </w:tblPr>
      <w:tblGrid>
        <w:gridCol w:w="9081"/>
      </w:tblGrid>
      <w:tr w:rsidR="008F6F53" w:rsidTr="00A01641">
        <w:trPr>
          <w:jc w:val="center"/>
        </w:trPr>
        <w:tc>
          <w:tcPr>
            <w:tcW w:w="9081" w:type="dxa"/>
            <w:vAlign w:val="center"/>
          </w:tcPr>
          <w:p w:rsidR="008F6F53" w:rsidRDefault="008F6F53" w:rsidP="00A01641">
            <w:pPr>
              <w:bidi w:val="0"/>
              <w:jc w:val="center"/>
              <w:rPr>
                <w:b/>
                <w:bCs/>
                <w:sz w:val="18"/>
                <w:szCs w:val="18"/>
              </w:rPr>
            </w:pPr>
            <w:r w:rsidRPr="008F6F53">
              <w:rPr>
                <w:b/>
                <w:bCs/>
                <w:noProof/>
                <w:sz w:val="18"/>
                <w:szCs w:val="18"/>
                <w:lang w:eastAsia="en-US"/>
              </w:rPr>
              <w:drawing>
                <wp:inline distT="0" distB="0" distL="0" distR="0">
                  <wp:extent cx="5574183" cy="2267712"/>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w:t>
      </w:r>
      <w:r w:rsidR="00454C8F">
        <w:rPr>
          <w:sz w:val="18"/>
          <w:szCs w:val="18"/>
        </w:rPr>
        <w:t xml:space="preserve"> governorate</w:t>
      </w:r>
      <w:r w:rsidRPr="005F5139">
        <w:rPr>
          <w:sz w:val="18"/>
          <w:szCs w:val="18"/>
        </w:rPr>
        <w:t xml:space="preserve"> which were annexed by Israel</w:t>
      </w:r>
      <w:r w:rsidR="0076649D">
        <w:rPr>
          <w:sz w:val="18"/>
          <w:szCs w:val="18"/>
        </w:rPr>
        <w:t xml:space="preserve"> occupation </w:t>
      </w:r>
      <w:r w:rsidRPr="005F5139">
        <w:rPr>
          <w:sz w:val="18"/>
          <w:szCs w:val="18"/>
        </w:rPr>
        <w:t xml:space="preserve"> in 1967.</w:t>
      </w:r>
    </w:p>
    <w:p w:rsidR="00461B79" w:rsidRPr="005F5139" w:rsidRDefault="005F5139" w:rsidP="00965084">
      <w:pPr>
        <w:bidi w:val="0"/>
        <w:rPr>
          <w:sz w:val="18"/>
          <w:szCs w:val="18"/>
        </w:rPr>
      </w:pPr>
      <w:r w:rsidRPr="005F5139">
        <w:rPr>
          <w:sz w:val="18"/>
          <w:szCs w:val="18"/>
        </w:rPr>
        <w:t>**</w:t>
      </w:r>
      <w:r w:rsidR="00461B79" w:rsidRPr="005F5139">
        <w:rPr>
          <w:sz w:val="18"/>
          <w:szCs w:val="18"/>
        </w:rPr>
        <w:t>In</w:t>
      </w:r>
      <w:r w:rsidR="00B52D09" w:rsidRPr="005F5139">
        <w:rPr>
          <w:sz w:val="18"/>
          <w:szCs w:val="18"/>
        </w:rPr>
        <w:t>cludes</w:t>
      </w:r>
      <w:r w:rsidR="00461B79" w:rsidRPr="005F5139">
        <w:rPr>
          <w:sz w:val="18"/>
          <w:szCs w:val="18"/>
        </w:rPr>
        <w:t xml:space="preserve"> </w:t>
      </w:r>
      <w:r w:rsidR="00AF1D45" w:rsidRPr="005F5139">
        <w:rPr>
          <w:sz w:val="18"/>
          <w:szCs w:val="18"/>
        </w:rPr>
        <w:t>h</w:t>
      </w:r>
      <w:r w:rsidR="00461B79" w:rsidRPr="005F5139">
        <w:rPr>
          <w:snapToGrid w:val="0"/>
          <w:sz w:val="18"/>
          <w:szCs w:val="18"/>
        </w:rPr>
        <w:t>ouseholds with employed persons,</w:t>
      </w:r>
      <w:r w:rsidR="00461B79" w:rsidRPr="005F5139">
        <w:rPr>
          <w:sz w:val="18"/>
          <w:szCs w:val="18"/>
        </w:rPr>
        <w:t xml:space="preserve"> customs duties and VAT on </w:t>
      </w:r>
      <w:r w:rsidR="009655C2">
        <w:rPr>
          <w:sz w:val="18"/>
          <w:szCs w:val="18"/>
        </w:rPr>
        <w:t xml:space="preserve">net </w:t>
      </w:r>
      <w:r w:rsidR="00461B79" w:rsidRPr="005F5139">
        <w:rPr>
          <w:sz w:val="18"/>
          <w:szCs w:val="18"/>
        </w:rPr>
        <w:t>imports</w:t>
      </w:r>
      <w:r w:rsidR="009655C2">
        <w:rPr>
          <w:sz w:val="18"/>
          <w:szCs w:val="18"/>
        </w:rPr>
        <w:t>.</w:t>
      </w:r>
    </w:p>
    <w:p w:rsidR="00EF0DE5" w:rsidRPr="000C2A54" w:rsidRDefault="00EF0DE5" w:rsidP="00164173">
      <w:pPr>
        <w:bidi w:val="0"/>
        <w:jc w:val="both"/>
        <w:rPr>
          <w:b/>
          <w:bCs/>
          <w:snapToGrid w:val="0"/>
        </w:rPr>
      </w:pPr>
    </w:p>
    <w:p w:rsidR="00C10793" w:rsidRPr="007C7663" w:rsidRDefault="006D7796" w:rsidP="00715246">
      <w:pPr>
        <w:bidi w:val="0"/>
        <w:jc w:val="both"/>
        <w:rPr>
          <w:b/>
          <w:bCs/>
          <w:snapToGrid w:val="0"/>
          <w:color w:val="000000" w:themeColor="text1"/>
        </w:rPr>
      </w:pPr>
      <w:r w:rsidRPr="007C7663">
        <w:rPr>
          <w:b/>
          <w:bCs/>
          <w:snapToGrid w:val="0"/>
          <w:color w:val="000000" w:themeColor="text1"/>
        </w:rPr>
        <w:t>2</w:t>
      </w:r>
      <w:r w:rsidR="00C10793" w:rsidRPr="007C7663">
        <w:rPr>
          <w:b/>
          <w:bCs/>
          <w:snapToGrid w:val="0"/>
          <w:color w:val="000000" w:themeColor="text1"/>
        </w:rPr>
        <w:t>.1.2. Gross Domestic Product</w:t>
      </w:r>
    </w:p>
    <w:p w:rsidR="00C10793" w:rsidRPr="007C7663" w:rsidRDefault="00C10793" w:rsidP="00164173">
      <w:pPr>
        <w:bidi w:val="0"/>
        <w:jc w:val="both"/>
        <w:rPr>
          <w:b/>
          <w:bCs/>
          <w:snapToGrid w:val="0"/>
          <w:color w:val="000000" w:themeColor="text1"/>
        </w:rPr>
      </w:pPr>
      <w:r w:rsidRPr="007C7663">
        <w:rPr>
          <w:color w:val="000000" w:themeColor="text1"/>
          <w:lang w:eastAsia="en-US"/>
        </w:rPr>
        <w:t xml:space="preserve">GDP </w:t>
      </w:r>
      <w:r w:rsidR="009655C2" w:rsidRPr="007C7663">
        <w:rPr>
          <w:color w:val="000000" w:themeColor="text1"/>
          <w:lang w:eastAsia="en-US"/>
        </w:rPr>
        <w:t>aims</w:t>
      </w:r>
      <w:r w:rsidRPr="007C7663">
        <w:rPr>
          <w:color w:val="000000" w:themeColor="text1"/>
          <w:lang w:eastAsia="en-US"/>
        </w:rPr>
        <w:t xml:space="preserve"> to measure the value created by the productive activity of resident institutional units </w:t>
      </w:r>
      <w:r w:rsidR="00921D12" w:rsidRPr="007C7663">
        <w:rPr>
          <w:color w:val="000000" w:themeColor="text1"/>
          <w:lang w:eastAsia="en-US"/>
        </w:rPr>
        <w:t>over</w:t>
      </w:r>
      <w:r w:rsidRPr="007C7663">
        <w:rPr>
          <w:color w:val="000000" w:themeColor="text1"/>
          <w:lang w:eastAsia="en-US"/>
        </w:rPr>
        <w:t xml:space="preserve"> a </w:t>
      </w:r>
      <w:r w:rsidR="009655C2" w:rsidRPr="007C7663">
        <w:rPr>
          <w:color w:val="000000" w:themeColor="text1"/>
          <w:lang w:eastAsia="en-US"/>
        </w:rPr>
        <w:t>specific</w:t>
      </w:r>
      <w:r w:rsidRPr="007C7663">
        <w:rPr>
          <w:color w:val="000000" w:themeColor="text1"/>
          <w:lang w:eastAsia="en-US"/>
        </w:rPr>
        <w:t xml:space="preserve"> period </w:t>
      </w:r>
      <w:r w:rsidR="009655C2" w:rsidRPr="007C7663">
        <w:rPr>
          <w:color w:val="000000" w:themeColor="text1"/>
          <w:lang w:eastAsia="en-US"/>
        </w:rPr>
        <w:t>of</w:t>
      </w:r>
      <w:r w:rsidRPr="007C7663">
        <w:rPr>
          <w:color w:val="000000" w:themeColor="text1"/>
          <w:lang w:eastAsia="en-US"/>
        </w:rPr>
        <w:t xml:space="preserve"> time.</w:t>
      </w:r>
    </w:p>
    <w:p w:rsidR="00C10793" w:rsidRPr="00C642DD" w:rsidRDefault="00C10793" w:rsidP="00C10793">
      <w:pPr>
        <w:bidi w:val="0"/>
        <w:rPr>
          <w:b/>
          <w:bCs/>
          <w:snapToGrid w:val="0"/>
          <w:sz w:val="22"/>
          <w:szCs w:val="22"/>
        </w:rPr>
      </w:pPr>
    </w:p>
    <w:p w:rsidR="009105D6" w:rsidRDefault="009105D6" w:rsidP="0057693F">
      <w:pPr>
        <w:bidi w:val="0"/>
        <w:jc w:val="center"/>
        <w:rPr>
          <w:rFonts w:ascii="Arial" w:hAnsi="Arial" w:cs="Arial"/>
          <w:b/>
          <w:bCs/>
          <w:snapToGrid w:val="0"/>
          <w:sz w:val="22"/>
          <w:szCs w:val="22"/>
        </w:rPr>
      </w:pPr>
    </w:p>
    <w:p w:rsidR="00D32EEB" w:rsidRDefault="00D32EEB">
      <w:pPr>
        <w:bidi w:val="0"/>
        <w:rPr>
          <w:rFonts w:ascii="Arial" w:hAnsi="Arial" w:cs="Arial"/>
          <w:b/>
          <w:bCs/>
          <w:snapToGrid w:val="0"/>
          <w:sz w:val="22"/>
          <w:szCs w:val="22"/>
        </w:rPr>
      </w:pPr>
      <w:r>
        <w:rPr>
          <w:rFonts w:ascii="Arial" w:hAnsi="Arial" w:cs="Arial"/>
          <w:b/>
          <w:bCs/>
          <w:snapToGrid w:val="0"/>
          <w:sz w:val="22"/>
          <w:szCs w:val="22"/>
        </w:rPr>
        <w:br w:type="page"/>
      </w:r>
    </w:p>
    <w:p w:rsidR="00504475" w:rsidRPr="00C642DD" w:rsidRDefault="00A348BE" w:rsidP="009105D6">
      <w:pPr>
        <w:bidi w:val="0"/>
        <w:jc w:val="center"/>
        <w:rPr>
          <w:rFonts w:ascii="Arial" w:hAnsi="Arial" w:cs="Arial"/>
          <w:b/>
          <w:bCs/>
          <w:snapToGrid w:val="0"/>
          <w:sz w:val="22"/>
          <w:szCs w:val="22"/>
        </w:rPr>
      </w:pPr>
      <w:r>
        <w:rPr>
          <w:rFonts w:ascii="Arial" w:hAnsi="Arial" w:cs="Arial"/>
          <w:b/>
          <w:bCs/>
          <w:snapToGrid w:val="0"/>
          <w:sz w:val="22"/>
          <w:szCs w:val="22"/>
        </w:rPr>
        <w:lastRenderedPageBreak/>
        <w:t xml:space="preserve">GDP </w:t>
      </w:r>
      <w:r w:rsidR="000976CC">
        <w:rPr>
          <w:rFonts w:ascii="Arial" w:hAnsi="Arial" w:cs="Arial"/>
          <w:b/>
          <w:bCs/>
          <w:snapToGrid w:val="0"/>
          <w:sz w:val="22"/>
          <w:szCs w:val="22"/>
        </w:rPr>
        <w:t>i</w:t>
      </w:r>
      <w:r w:rsidR="00461B79" w:rsidRPr="00C642DD">
        <w:rPr>
          <w:rFonts w:ascii="Arial" w:hAnsi="Arial" w:cs="Arial"/>
          <w:b/>
          <w:bCs/>
          <w:snapToGrid w:val="0"/>
          <w:sz w:val="22"/>
          <w:szCs w:val="22"/>
        </w:rPr>
        <w:t xml:space="preserve">n </w:t>
      </w:r>
      <w:r w:rsidR="00A56942" w:rsidRPr="00C642DD">
        <w:rPr>
          <w:rFonts w:ascii="Arial" w:hAnsi="Arial" w:cs="Arial"/>
          <w:b/>
          <w:bCs/>
          <w:snapToGrid w:val="0"/>
          <w:sz w:val="22"/>
          <w:szCs w:val="22"/>
        </w:rPr>
        <w:t>Palestine</w:t>
      </w:r>
      <w:r w:rsidR="00F530F9" w:rsidRPr="00C642DD">
        <w:rPr>
          <w:rFonts w:ascii="Arial" w:hAnsi="Arial" w:cs="Arial"/>
          <w:b/>
          <w:bCs/>
          <w:snapToGrid w:val="0"/>
          <w:sz w:val="22"/>
          <w:szCs w:val="22"/>
        </w:rPr>
        <w:t>*</w:t>
      </w:r>
      <w:r w:rsidR="00A56942" w:rsidRPr="00C642DD">
        <w:rPr>
          <w:rFonts w:ascii="Arial" w:hAnsi="Arial" w:cs="Arial"/>
          <w:b/>
          <w:bCs/>
          <w:snapToGrid w:val="0"/>
          <w:sz w:val="22"/>
          <w:szCs w:val="22"/>
        </w:rPr>
        <w:t xml:space="preserve"> for</w:t>
      </w:r>
      <w:r w:rsidR="006D7796">
        <w:rPr>
          <w:rFonts w:ascii="Arial" w:hAnsi="Arial" w:cs="Arial"/>
          <w:b/>
          <w:bCs/>
          <w:snapToGrid w:val="0"/>
          <w:sz w:val="22"/>
          <w:szCs w:val="22"/>
        </w:rPr>
        <w:t xml:space="preserve"> the years</w:t>
      </w:r>
      <w:r w:rsidR="00461B79" w:rsidRPr="00C642DD">
        <w:rPr>
          <w:rFonts w:ascii="Arial" w:hAnsi="Arial" w:cs="Arial"/>
          <w:b/>
          <w:bCs/>
          <w:snapToGrid w:val="0"/>
          <w:sz w:val="22"/>
          <w:szCs w:val="22"/>
        </w:rPr>
        <w:t xml:space="preserve"> </w:t>
      </w:r>
      <w:r w:rsidR="0057693F">
        <w:rPr>
          <w:rFonts w:ascii="Arial" w:hAnsi="Arial" w:cs="Arial"/>
          <w:b/>
          <w:bCs/>
          <w:snapToGrid w:val="0"/>
          <w:sz w:val="22"/>
          <w:szCs w:val="22"/>
        </w:rPr>
        <w:t>2004</w:t>
      </w:r>
      <w:r w:rsidR="002E1197" w:rsidRPr="00C642DD">
        <w:rPr>
          <w:rFonts w:ascii="Arial" w:hAnsi="Arial" w:cs="Arial"/>
          <w:b/>
          <w:bCs/>
          <w:snapToGrid w:val="0"/>
          <w:sz w:val="22"/>
          <w:szCs w:val="22"/>
        </w:rPr>
        <w:t>-</w:t>
      </w:r>
      <w:r w:rsidR="0057693F">
        <w:rPr>
          <w:rFonts w:ascii="Arial" w:hAnsi="Arial" w:cs="Arial"/>
          <w:b/>
          <w:bCs/>
          <w:snapToGrid w:val="0"/>
          <w:sz w:val="22"/>
          <w:szCs w:val="22"/>
        </w:rPr>
        <w:t>2018</w:t>
      </w:r>
      <w:r w:rsidR="00461B79" w:rsidRPr="00C642DD">
        <w:rPr>
          <w:rFonts w:ascii="Arial" w:hAnsi="Arial" w:cs="Arial"/>
          <w:b/>
          <w:bCs/>
          <w:snapToGrid w:val="0"/>
          <w:sz w:val="22"/>
          <w:szCs w:val="22"/>
        </w:rPr>
        <w:t xml:space="preserve"> at </w:t>
      </w:r>
      <w:r w:rsidR="00EC05AF" w:rsidRPr="00C642DD">
        <w:rPr>
          <w:rFonts w:ascii="Arial" w:hAnsi="Arial" w:cs="Arial"/>
          <w:b/>
          <w:bCs/>
          <w:snapToGrid w:val="0"/>
          <w:sz w:val="22"/>
          <w:szCs w:val="22"/>
        </w:rPr>
        <w:t>current and constant prices</w:t>
      </w:r>
      <w:r w:rsidR="00262BFD" w:rsidRPr="00C642DD">
        <w:rPr>
          <w:rFonts w:ascii="Arial" w:hAnsi="Arial" w:cs="Arial"/>
          <w:b/>
          <w:bCs/>
          <w:snapToGrid w:val="0"/>
          <w:sz w:val="22"/>
          <w:szCs w:val="22"/>
        </w:rPr>
        <w:t xml:space="preserve"> (USD million)</w:t>
      </w:r>
    </w:p>
    <w:tbl>
      <w:tblPr>
        <w:tblStyle w:val="TableGrid"/>
        <w:tblW w:w="0" w:type="auto"/>
        <w:jc w:val="center"/>
        <w:tblInd w:w="-176" w:type="dxa"/>
        <w:tblLayout w:type="fixed"/>
        <w:tblLook w:val="04A0"/>
      </w:tblPr>
      <w:tblGrid>
        <w:gridCol w:w="8894"/>
      </w:tblGrid>
      <w:tr w:rsidR="00995DA9" w:rsidTr="00EE6272">
        <w:trPr>
          <w:trHeight w:val="4173"/>
          <w:jc w:val="center"/>
        </w:trPr>
        <w:tc>
          <w:tcPr>
            <w:tcW w:w="8894" w:type="dxa"/>
            <w:vAlign w:val="center"/>
          </w:tcPr>
          <w:p w:rsidR="00995DA9" w:rsidRDefault="00995DA9" w:rsidP="00A01641">
            <w:pPr>
              <w:bidi w:val="0"/>
              <w:jc w:val="center"/>
              <w:rPr>
                <w:b/>
                <w:bCs/>
                <w:snapToGrid w:val="0"/>
                <w:sz w:val="22"/>
                <w:szCs w:val="22"/>
              </w:rPr>
            </w:pPr>
            <w:r w:rsidRPr="00995DA9">
              <w:rPr>
                <w:b/>
                <w:bCs/>
                <w:noProof/>
                <w:snapToGrid w:val="0"/>
                <w:sz w:val="22"/>
                <w:szCs w:val="22"/>
                <w:lang w:eastAsia="en-US"/>
              </w:rPr>
              <w:drawing>
                <wp:inline distT="0" distB="0" distL="0" distR="0">
                  <wp:extent cx="5511113" cy="2487827"/>
                  <wp:effectExtent l="0" t="0" r="0"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F5139" w:rsidRPr="005F5139" w:rsidRDefault="00D32EEB" w:rsidP="0076649D">
      <w:pPr>
        <w:bidi w:val="0"/>
        <w:rPr>
          <w:sz w:val="18"/>
          <w:szCs w:val="18"/>
        </w:rPr>
      </w:pPr>
      <w:r>
        <w:rPr>
          <w:sz w:val="18"/>
          <w:szCs w:val="18"/>
        </w:rPr>
        <w:t xml:space="preserve">  </w:t>
      </w:r>
      <w:r w:rsidR="005F5139" w:rsidRPr="005F5139">
        <w:rPr>
          <w:sz w:val="18"/>
          <w:szCs w:val="18"/>
        </w:rPr>
        <w:t>*The data excludes those parts of Jerusalem</w:t>
      </w:r>
      <w:r w:rsidR="00092B71">
        <w:rPr>
          <w:sz w:val="18"/>
          <w:szCs w:val="18"/>
        </w:rPr>
        <w:t xml:space="preserve"> governorate</w:t>
      </w:r>
      <w:r w:rsidR="005F5139" w:rsidRPr="005F5139">
        <w:rPr>
          <w:sz w:val="18"/>
          <w:szCs w:val="18"/>
        </w:rPr>
        <w:t xml:space="preserve"> which were annexed by </w:t>
      </w:r>
      <w:r w:rsidR="0076649D" w:rsidRPr="005F5139">
        <w:rPr>
          <w:sz w:val="18"/>
          <w:szCs w:val="18"/>
        </w:rPr>
        <w:t>Israel</w:t>
      </w:r>
      <w:r w:rsidR="0076649D">
        <w:rPr>
          <w:sz w:val="18"/>
          <w:szCs w:val="18"/>
        </w:rPr>
        <w:t xml:space="preserve"> occupation </w:t>
      </w:r>
      <w:r w:rsidR="0076649D" w:rsidRPr="005F5139">
        <w:rPr>
          <w:sz w:val="18"/>
          <w:szCs w:val="18"/>
        </w:rPr>
        <w:t xml:space="preserve"> </w:t>
      </w:r>
      <w:r w:rsidR="005F5139" w:rsidRPr="005F5139">
        <w:rPr>
          <w:sz w:val="18"/>
          <w:szCs w:val="18"/>
        </w:rPr>
        <w:t>in 1967.</w:t>
      </w:r>
    </w:p>
    <w:p w:rsidR="00135117" w:rsidRPr="00A01641" w:rsidRDefault="00135117" w:rsidP="00135117">
      <w:pPr>
        <w:bidi w:val="0"/>
        <w:jc w:val="center"/>
        <w:rPr>
          <w:b/>
          <w:bCs/>
          <w:snapToGrid w:val="0"/>
        </w:rPr>
      </w:pPr>
    </w:p>
    <w:p w:rsidR="00182C55" w:rsidRPr="00C642DD" w:rsidRDefault="00CF3B3A" w:rsidP="008D37A5">
      <w:pPr>
        <w:bidi w:val="0"/>
        <w:jc w:val="lowKashida"/>
        <w:rPr>
          <w:b/>
          <w:bCs/>
          <w:color w:val="000000" w:themeColor="text1"/>
        </w:rPr>
      </w:pPr>
      <w:r>
        <w:rPr>
          <w:b/>
          <w:bCs/>
          <w:color w:val="000000" w:themeColor="text1"/>
        </w:rPr>
        <w:t>2</w:t>
      </w:r>
      <w:r w:rsidR="00182C55" w:rsidRPr="00C642DD">
        <w:rPr>
          <w:b/>
          <w:bCs/>
          <w:color w:val="000000" w:themeColor="text1"/>
        </w:rPr>
        <w:t>.1.3. Gross National Income</w:t>
      </w:r>
    </w:p>
    <w:p w:rsidR="00182C55" w:rsidRPr="00C642DD" w:rsidRDefault="00182C55" w:rsidP="00AC26E6">
      <w:pPr>
        <w:bidi w:val="0"/>
        <w:jc w:val="lowKashida"/>
        <w:rPr>
          <w:color w:val="000000" w:themeColor="text1"/>
        </w:rPr>
      </w:pPr>
      <w:r w:rsidRPr="00C642DD">
        <w:rPr>
          <w:color w:val="000000" w:themeColor="text1"/>
          <w:lang w:eastAsia="en-US"/>
        </w:rPr>
        <w:t>Th</w:t>
      </w:r>
      <w:r w:rsidR="005C1D84" w:rsidRPr="00C642DD">
        <w:rPr>
          <w:color w:val="000000" w:themeColor="text1"/>
          <w:lang w:eastAsia="en-US"/>
        </w:rPr>
        <w:t>is is th</w:t>
      </w:r>
      <w:r w:rsidRPr="00C642DD">
        <w:rPr>
          <w:color w:val="000000" w:themeColor="text1"/>
          <w:lang w:eastAsia="en-US"/>
        </w:rPr>
        <w:t xml:space="preserve">e gross value of the initial earned income of residents. It is the income incurred by </w:t>
      </w:r>
      <w:r w:rsidR="005C1D84" w:rsidRPr="00C642DD">
        <w:rPr>
          <w:color w:val="000000" w:themeColor="text1"/>
          <w:lang w:eastAsia="en-US"/>
        </w:rPr>
        <w:t xml:space="preserve">performing </w:t>
      </w:r>
      <w:r w:rsidRPr="00C642DD">
        <w:rPr>
          <w:color w:val="000000" w:themeColor="text1"/>
          <w:lang w:eastAsia="en-US"/>
        </w:rPr>
        <w:t>producti</w:t>
      </w:r>
      <w:r w:rsidR="005C1D84" w:rsidRPr="00C642DD">
        <w:rPr>
          <w:color w:val="000000" w:themeColor="text1"/>
          <w:lang w:eastAsia="en-US"/>
        </w:rPr>
        <w:t>ve</w:t>
      </w:r>
      <w:r w:rsidRPr="00C642DD">
        <w:rPr>
          <w:color w:val="000000" w:themeColor="text1"/>
          <w:lang w:eastAsia="en-US"/>
        </w:rPr>
        <w:t xml:space="preserve"> activities or by owning financial</w:t>
      </w:r>
      <w:r w:rsidR="00AC26E6">
        <w:rPr>
          <w:color w:val="000000" w:themeColor="text1"/>
          <w:lang w:eastAsia="en-US"/>
        </w:rPr>
        <w:t xml:space="preserve">, </w:t>
      </w:r>
      <w:r w:rsidRPr="00C642DD">
        <w:rPr>
          <w:color w:val="000000" w:themeColor="text1"/>
          <w:lang w:eastAsia="en-US"/>
        </w:rPr>
        <w:t>land or subsoil assets.</w:t>
      </w:r>
    </w:p>
    <w:p w:rsidR="00661FB0" w:rsidRPr="00A01641" w:rsidRDefault="00661FB0" w:rsidP="00661FB0">
      <w:pPr>
        <w:bidi w:val="0"/>
        <w:rPr>
          <w:b/>
          <w:bCs/>
          <w:snapToGrid w:val="0"/>
          <w:color w:val="000000" w:themeColor="text1"/>
        </w:rPr>
      </w:pPr>
    </w:p>
    <w:p w:rsidR="00661FB0" w:rsidRPr="00C642DD" w:rsidRDefault="00661FB0" w:rsidP="0057693F">
      <w:pPr>
        <w:bidi w:val="0"/>
        <w:jc w:val="center"/>
        <w:rPr>
          <w:rFonts w:ascii="Arial" w:hAnsi="Arial" w:cs="Arial"/>
          <w:b/>
          <w:bCs/>
          <w:snapToGrid w:val="0"/>
          <w:color w:val="000000" w:themeColor="text1"/>
          <w:sz w:val="22"/>
          <w:szCs w:val="22"/>
        </w:rPr>
      </w:pPr>
      <w:r w:rsidRPr="00C642DD">
        <w:rPr>
          <w:rFonts w:ascii="Arial" w:hAnsi="Arial" w:cs="Arial"/>
          <w:b/>
          <w:bCs/>
          <w:snapToGrid w:val="0"/>
          <w:color w:val="000000" w:themeColor="text1"/>
          <w:sz w:val="22"/>
          <w:szCs w:val="22"/>
        </w:rPr>
        <w:t>G</w:t>
      </w:r>
      <w:r w:rsidR="00D4211C">
        <w:rPr>
          <w:rFonts w:ascii="Arial" w:hAnsi="Arial" w:cs="Arial"/>
          <w:b/>
          <w:bCs/>
          <w:snapToGrid w:val="0"/>
          <w:color w:val="000000" w:themeColor="text1"/>
          <w:sz w:val="22"/>
          <w:szCs w:val="22"/>
        </w:rPr>
        <w:t xml:space="preserve">NI </w:t>
      </w:r>
      <w:r w:rsidR="00A348BE">
        <w:rPr>
          <w:rFonts w:ascii="Arial" w:hAnsi="Arial" w:cs="Arial"/>
          <w:b/>
          <w:bCs/>
          <w:snapToGrid w:val="0"/>
          <w:color w:val="000000" w:themeColor="text1"/>
          <w:sz w:val="22"/>
          <w:szCs w:val="22"/>
        </w:rPr>
        <w:t>i</w:t>
      </w:r>
      <w:r w:rsidRPr="00C642DD">
        <w:rPr>
          <w:rFonts w:ascii="Arial" w:hAnsi="Arial" w:cs="Arial"/>
          <w:b/>
          <w:bCs/>
          <w:snapToGrid w:val="0"/>
          <w:color w:val="000000" w:themeColor="text1"/>
          <w:sz w:val="22"/>
          <w:szCs w:val="22"/>
        </w:rPr>
        <w:t>n Palestine* for</w:t>
      </w:r>
      <w:r w:rsidR="006D7796">
        <w:rPr>
          <w:rFonts w:ascii="Arial" w:hAnsi="Arial" w:cs="Arial"/>
          <w:b/>
          <w:bCs/>
          <w:snapToGrid w:val="0"/>
          <w:color w:val="000000" w:themeColor="text1"/>
          <w:sz w:val="22"/>
          <w:szCs w:val="22"/>
        </w:rPr>
        <w:t xml:space="preserve"> the years</w:t>
      </w:r>
      <w:r w:rsidRPr="00C642DD">
        <w:rPr>
          <w:rFonts w:ascii="Arial" w:hAnsi="Arial" w:cs="Arial"/>
          <w:b/>
          <w:bCs/>
          <w:snapToGrid w:val="0"/>
          <w:color w:val="000000" w:themeColor="text1"/>
          <w:sz w:val="22"/>
          <w:szCs w:val="22"/>
        </w:rPr>
        <w:t xml:space="preserve"> </w:t>
      </w:r>
      <w:r w:rsidR="0057693F">
        <w:rPr>
          <w:rFonts w:ascii="Arial" w:hAnsi="Arial" w:cs="Arial"/>
          <w:b/>
          <w:bCs/>
          <w:snapToGrid w:val="0"/>
          <w:color w:val="000000" w:themeColor="text1"/>
          <w:sz w:val="22"/>
          <w:szCs w:val="22"/>
        </w:rPr>
        <w:t>2004</w:t>
      </w:r>
      <w:r w:rsidR="002E1197" w:rsidRPr="00C642DD">
        <w:rPr>
          <w:rFonts w:ascii="Arial" w:hAnsi="Arial" w:cs="Arial"/>
          <w:b/>
          <w:bCs/>
          <w:snapToGrid w:val="0"/>
          <w:color w:val="000000" w:themeColor="text1"/>
          <w:sz w:val="22"/>
          <w:szCs w:val="22"/>
        </w:rPr>
        <w:t>-</w:t>
      </w:r>
      <w:r w:rsidR="0057693F">
        <w:rPr>
          <w:rFonts w:ascii="Arial" w:hAnsi="Arial" w:cs="Arial"/>
          <w:b/>
          <w:bCs/>
          <w:snapToGrid w:val="0"/>
          <w:color w:val="000000" w:themeColor="text1"/>
          <w:sz w:val="22"/>
          <w:szCs w:val="22"/>
        </w:rPr>
        <w:t>2018</w:t>
      </w:r>
      <w:r w:rsidRPr="00C642DD">
        <w:rPr>
          <w:rFonts w:ascii="Arial" w:hAnsi="Arial" w:cs="Arial"/>
          <w:b/>
          <w:bCs/>
          <w:snapToGrid w:val="0"/>
          <w:color w:val="000000" w:themeColor="text1"/>
          <w:sz w:val="22"/>
          <w:szCs w:val="22"/>
        </w:rPr>
        <w:t xml:space="preserve"> at current and constant prices  (USD million)</w:t>
      </w:r>
    </w:p>
    <w:tbl>
      <w:tblPr>
        <w:tblStyle w:val="TableGrid"/>
        <w:tblW w:w="0" w:type="auto"/>
        <w:jc w:val="center"/>
        <w:tblLook w:val="04A0"/>
      </w:tblPr>
      <w:tblGrid>
        <w:gridCol w:w="9037"/>
      </w:tblGrid>
      <w:tr w:rsidR="007C2712" w:rsidRPr="00321F7E" w:rsidTr="000C2A54">
        <w:trPr>
          <w:trHeight w:val="3631"/>
          <w:jc w:val="center"/>
        </w:trPr>
        <w:tc>
          <w:tcPr>
            <w:tcW w:w="9037" w:type="dxa"/>
            <w:vAlign w:val="center"/>
          </w:tcPr>
          <w:p w:rsidR="007C2712" w:rsidRPr="00321F7E" w:rsidRDefault="007C2712" w:rsidP="00A01641">
            <w:pPr>
              <w:pStyle w:val="BodyText"/>
              <w:jc w:val="center"/>
              <w:rPr>
                <w:rFonts w:ascii="Arial" w:hAnsi="Arial" w:cs="Arial"/>
                <w:b/>
                <w:bCs/>
                <w:sz w:val="18"/>
                <w:szCs w:val="18"/>
              </w:rPr>
            </w:pPr>
            <w:r w:rsidRPr="00321F7E">
              <w:rPr>
                <w:rFonts w:ascii="Arial" w:hAnsi="Arial" w:cs="Arial"/>
                <w:b/>
                <w:bCs/>
                <w:sz w:val="18"/>
                <w:szCs w:val="18"/>
                <w:rtl/>
              </w:rPr>
              <w:drawing>
                <wp:inline distT="0" distB="0" distL="0" distR="0">
                  <wp:extent cx="5585254" cy="2273643"/>
                  <wp:effectExtent l="0" t="0" r="0" b="0"/>
                  <wp:docPr id="8"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3C37CB" w:rsidRPr="005F5139" w:rsidRDefault="003C37CB" w:rsidP="0076649D">
      <w:pPr>
        <w:bidi w:val="0"/>
        <w:rPr>
          <w:sz w:val="18"/>
          <w:szCs w:val="18"/>
        </w:rPr>
      </w:pPr>
      <w:r w:rsidRPr="005F5139">
        <w:rPr>
          <w:sz w:val="18"/>
          <w:szCs w:val="18"/>
        </w:rPr>
        <w:t xml:space="preserve">*The data excludes those parts of Jerusalem </w:t>
      </w:r>
      <w:r w:rsidR="00EA1C9B">
        <w:rPr>
          <w:sz w:val="18"/>
          <w:szCs w:val="18"/>
        </w:rPr>
        <w:t xml:space="preserve">governorate </w:t>
      </w:r>
      <w:r w:rsidRPr="005F5139">
        <w:rPr>
          <w:sz w:val="18"/>
          <w:szCs w:val="18"/>
        </w:rPr>
        <w:t xml:space="preserve">which were annexed by </w:t>
      </w:r>
      <w:r w:rsidR="0076649D" w:rsidRPr="005F5139">
        <w:rPr>
          <w:sz w:val="18"/>
          <w:szCs w:val="18"/>
        </w:rPr>
        <w:t>Israel</w:t>
      </w:r>
      <w:r w:rsidR="0076649D">
        <w:rPr>
          <w:sz w:val="18"/>
          <w:szCs w:val="18"/>
        </w:rPr>
        <w:t xml:space="preserve"> occupation </w:t>
      </w:r>
      <w:r w:rsidR="0076649D" w:rsidRPr="005F5139">
        <w:rPr>
          <w:sz w:val="18"/>
          <w:szCs w:val="18"/>
        </w:rPr>
        <w:t xml:space="preserve"> </w:t>
      </w:r>
      <w:r w:rsidRPr="005F5139">
        <w:rPr>
          <w:sz w:val="18"/>
          <w:szCs w:val="18"/>
        </w:rPr>
        <w:t>in 1967.</w:t>
      </w:r>
    </w:p>
    <w:p w:rsidR="00312F0E" w:rsidRDefault="00312F0E" w:rsidP="00182C55">
      <w:pPr>
        <w:bidi w:val="0"/>
        <w:jc w:val="lowKashida"/>
        <w:rPr>
          <w:rFonts w:asciiTheme="majorBidi" w:hAnsiTheme="majorBidi" w:cstheme="majorBidi"/>
          <w:b/>
          <w:bCs/>
          <w:color w:val="000000" w:themeColor="text1"/>
          <w:lang w:eastAsia="en-US"/>
        </w:rPr>
      </w:pPr>
    </w:p>
    <w:p w:rsidR="00182C55" w:rsidRPr="006F7FAC" w:rsidRDefault="00CF3B3A" w:rsidP="00312F0E">
      <w:pPr>
        <w:bidi w:val="0"/>
        <w:jc w:val="lowKashida"/>
        <w:rPr>
          <w:rFonts w:asciiTheme="majorBidi" w:hAnsiTheme="majorBidi" w:cstheme="majorBidi"/>
          <w:b/>
          <w:bCs/>
          <w:color w:val="000000" w:themeColor="text1"/>
          <w:lang w:eastAsia="en-US"/>
        </w:rPr>
      </w:pPr>
      <w:r>
        <w:rPr>
          <w:rFonts w:asciiTheme="majorBidi" w:hAnsiTheme="majorBidi" w:cstheme="majorBidi"/>
          <w:b/>
          <w:bCs/>
          <w:color w:val="000000" w:themeColor="text1"/>
          <w:lang w:eastAsia="en-US"/>
        </w:rPr>
        <w:t>2</w:t>
      </w:r>
      <w:r w:rsidR="00182C55" w:rsidRPr="006F7FAC">
        <w:rPr>
          <w:rFonts w:asciiTheme="majorBidi" w:hAnsiTheme="majorBidi" w:cstheme="majorBidi"/>
          <w:b/>
          <w:bCs/>
          <w:color w:val="000000" w:themeColor="text1"/>
          <w:lang w:eastAsia="en-US"/>
        </w:rPr>
        <w:t>.1.4</w:t>
      </w:r>
      <w:r w:rsidR="009967D6">
        <w:rPr>
          <w:rFonts w:asciiTheme="majorBidi" w:hAnsiTheme="majorBidi" w:cstheme="majorBidi"/>
          <w:b/>
          <w:bCs/>
          <w:color w:val="000000" w:themeColor="text1"/>
          <w:lang w:eastAsia="en-US"/>
        </w:rPr>
        <w:t>.</w:t>
      </w:r>
      <w:r w:rsidR="00182C55" w:rsidRPr="006F7FAC">
        <w:rPr>
          <w:rFonts w:asciiTheme="majorBidi" w:hAnsiTheme="majorBidi" w:cstheme="majorBidi"/>
          <w:b/>
          <w:bCs/>
          <w:color w:val="000000" w:themeColor="text1"/>
          <w:lang w:eastAsia="en-US"/>
        </w:rPr>
        <w:t xml:space="preserve"> Gross National Disposable Income</w:t>
      </w:r>
    </w:p>
    <w:p w:rsidR="00182C55" w:rsidRPr="006F7FAC" w:rsidRDefault="006F3AB2" w:rsidP="003405B6">
      <w:pPr>
        <w:bidi w:val="0"/>
        <w:jc w:val="lowKashida"/>
        <w:rPr>
          <w:rFonts w:asciiTheme="majorBidi" w:hAnsiTheme="majorBidi" w:cstheme="majorBidi"/>
          <w:color w:val="000000" w:themeColor="text1"/>
          <w:lang w:eastAsia="en-US"/>
        </w:rPr>
      </w:pPr>
      <w:r>
        <w:rPr>
          <w:rFonts w:asciiTheme="majorBidi" w:hAnsiTheme="majorBidi" w:cstheme="majorBidi"/>
          <w:color w:val="000000" w:themeColor="text1"/>
          <w:lang w:eastAsia="en-US"/>
        </w:rPr>
        <w:t>As most developing countries, gross national disposable income exceeds both gross domestic product and gross national income. This is due to aids and current transfers provided by international community, in addition to transfers from Palestinians abroad to their families in Palestine.</w:t>
      </w:r>
    </w:p>
    <w:p w:rsidR="00A01641" w:rsidRDefault="00A01641">
      <w:pPr>
        <w:bidi w:val="0"/>
        <w:rPr>
          <w:rFonts w:ascii="Arial" w:hAnsi="Arial" w:cs="Arial"/>
          <w:b/>
          <w:bCs/>
          <w:snapToGrid w:val="0"/>
          <w:color w:val="000000" w:themeColor="text1"/>
          <w:sz w:val="22"/>
          <w:szCs w:val="22"/>
        </w:rPr>
      </w:pPr>
      <w:r>
        <w:rPr>
          <w:rFonts w:ascii="Arial" w:hAnsi="Arial" w:cs="Arial"/>
          <w:b/>
          <w:bCs/>
          <w:snapToGrid w:val="0"/>
          <w:color w:val="000000" w:themeColor="text1"/>
          <w:sz w:val="22"/>
          <w:szCs w:val="22"/>
        </w:rPr>
        <w:br w:type="page"/>
      </w:r>
    </w:p>
    <w:p w:rsidR="006D7796" w:rsidRDefault="00D4211C" w:rsidP="0057693F">
      <w:pPr>
        <w:bidi w:val="0"/>
        <w:jc w:val="center"/>
        <w:rPr>
          <w:rFonts w:ascii="Arial" w:hAnsi="Arial" w:cs="Arial"/>
          <w:b/>
          <w:bCs/>
          <w:snapToGrid w:val="0"/>
          <w:color w:val="000000" w:themeColor="text1"/>
          <w:sz w:val="22"/>
          <w:szCs w:val="22"/>
        </w:rPr>
      </w:pPr>
      <w:r>
        <w:rPr>
          <w:rFonts w:ascii="Arial" w:hAnsi="Arial" w:cs="Arial"/>
          <w:b/>
          <w:bCs/>
          <w:snapToGrid w:val="0"/>
          <w:color w:val="000000" w:themeColor="text1"/>
          <w:sz w:val="22"/>
          <w:szCs w:val="22"/>
        </w:rPr>
        <w:lastRenderedPageBreak/>
        <w:t xml:space="preserve">GNDI </w:t>
      </w:r>
      <w:r w:rsidR="00F07ED7">
        <w:rPr>
          <w:rFonts w:ascii="Arial" w:hAnsi="Arial" w:cs="Arial"/>
          <w:b/>
          <w:bCs/>
          <w:snapToGrid w:val="0"/>
          <w:color w:val="000000" w:themeColor="text1"/>
          <w:sz w:val="22"/>
          <w:szCs w:val="22"/>
        </w:rPr>
        <w:t>i</w:t>
      </w:r>
      <w:r w:rsidR="003413EF" w:rsidRPr="00C642DD">
        <w:rPr>
          <w:rFonts w:ascii="Arial" w:hAnsi="Arial" w:cs="Arial"/>
          <w:b/>
          <w:bCs/>
          <w:snapToGrid w:val="0"/>
          <w:color w:val="000000" w:themeColor="text1"/>
          <w:sz w:val="22"/>
          <w:szCs w:val="22"/>
        </w:rPr>
        <w:t>n Palestine* for</w:t>
      </w:r>
      <w:r w:rsidR="006D7796">
        <w:rPr>
          <w:rFonts w:ascii="Arial" w:hAnsi="Arial" w:cs="Arial"/>
          <w:b/>
          <w:bCs/>
          <w:snapToGrid w:val="0"/>
          <w:color w:val="000000" w:themeColor="text1"/>
          <w:sz w:val="22"/>
          <w:szCs w:val="22"/>
        </w:rPr>
        <w:t xml:space="preserve"> the years</w:t>
      </w:r>
      <w:r w:rsidR="003413EF" w:rsidRPr="00C642DD">
        <w:rPr>
          <w:rFonts w:ascii="Arial" w:hAnsi="Arial" w:cs="Arial"/>
          <w:b/>
          <w:bCs/>
          <w:snapToGrid w:val="0"/>
          <w:color w:val="000000" w:themeColor="text1"/>
          <w:sz w:val="22"/>
          <w:szCs w:val="22"/>
        </w:rPr>
        <w:t xml:space="preserve"> </w:t>
      </w:r>
      <w:r w:rsidR="0057693F">
        <w:rPr>
          <w:rFonts w:ascii="Arial" w:hAnsi="Arial" w:cs="Arial"/>
          <w:b/>
          <w:bCs/>
          <w:snapToGrid w:val="0"/>
          <w:color w:val="000000" w:themeColor="text1"/>
          <w:sz w:val="22"/>
          <w:szCs w:val="22"/>
        </w:rPr>
        <w:t>2004</w:t>
      </w:r>
      <w:r w:rsidR="00C75E7D" w:rsidRPr="00C642DD">
        <w:rPr>
          <w:rFonts w:ascii="Arial" w:hAnsi="Arial" w:cs="Arial"/>
          <w:b/>
          <w:bCs/>
          <w:snapToGrid w:val="0"/>
          <w:color w:val="000000" w:themeColor="text1"/>
          <w:sz w:val="22"/>
          <w:szCs w:val="22"/>
        </w:rPr>
        <w:t>-</w:t>
      </w:r>
      <w:r w:rsidR="0057693F">
        <w:rPr>
          <w:rFonts w:ascii="Arial" w:hAnsi="Arial" w:cs="Arial"/>
          <w:b/>
          <w:bCs/>
          <w:snapToGrid w:val="0"/>
          <w:color w:val="000000" w:themeColor="text1"/>
          <w:sz w:val="22"/>
          <w:szCs w:val="22"/>
        </w:rPr>
        <w:t>2018</w:t>
      </w:r>
      <w:r w:rsidR="003413EF" w:rsidRPr="00C642DD">
        <w:rPr>
          <w:rFonts w:ascii="Arial" w:hAnsi="Arial" w:cs="Arial"/>
          <w:b/>
          <w:bCs/>
          <w:snapToGrid w:val="0"/>
          <w:color w:val="000000" w:themeColor="text1"/>
          <w:sz w:val="22"/>
          <w:szCs w:val="22"/>
        </w:rPr>
        <w:t xml:space="preserve"> at current and</w:t>
      </w:r>
      <w:r w:rsidR="00F837D9" w:rsidRPr="00C642DD">
        <w:rPr>
          <w:rFonts w:ascii="Arial" w:hAnsi="Arial" w:cs="Arial"/>
          <w:b/>
          <w:bCs/>
          <w:snapToGrid w:val="0"/>
          <w:color w:val="000000" w:themeColor="text1"/>
          <w:sz w:val="22"/>
          <w:szCs w:val="22"/>
        </w:rPr>
        <w:t xml:space="preserve"> constant prices</w:t>
      </w:r>
    </w:p>
    <w:p w:rsidR="008E60BA" w:rsidRPr="00C642DD" w:rsidRDefault="00F837D9" w:rsidP="006D7796">
      <w:pPr>
        <w:bidi w:val="0"/>
        <w:jc w:val="center"/>
        <w:rPr>
          <w:rFonts w:ascii="Arial" w:hAnsi="Arial" w:cs="Arial"/>
          <w:b/>
          <w:bCs/>
          <w:snapToGrid w:val="0"/>
          <w:color w:val="000000" w:themeColor="text1"/>
          <w:sz w:val="22"/>
          <w:szCs w:val="22"/>
        </w:rPr>
      </w:pPr>
      <w:r w:rsidRPr="00C642DD">
        <w:rPr>
          <w:rFonts w:ascii="Arial" w:hAnsi="Arial" w:cs="Arial"/>
          <w:b/>
          <w:bCs/>
          <w:snapToGrid w:val="0"/>
          <w:color w:val="000000" w:themeColor="text1"/>
          <w:sz w:val="22"/>
          <w:szCs w:val="22"/>
        </w:rPr>
        <w:t xml:space="preserve"> (USD million)</w:t>
      </w:r>
    </w:p>
    <w:tbl>
      <w:tblPr>
        <w:tblStyle w:val="TableGrid"/>
        <w:tblW w:w="0" w:type="auto"/>
        <w:jc w:val="center"/>
        <w:tblLook w:val="04A0"/>
      </w:tblPr>
      <w:tblGrid>
        <w:gridCol w:w="8971"/>
      </w:tblGrid>
      <w:tr w:rsidR="00312F0E" w:rsidRPr="00312F0E" w:rsidTr="00A01641">
        <w:trPr>
          <w:jc w:val="center"/>
        </w:trPr>
        <w:tc>
          <w:tcPr>
            <w:tcW w:w="8971" w:type="dxa"/>
            <w:vAlign w:val="center"/>
          </w:tcPr>
          <w:p w:rsidR="00312F0E" w:rsidRPr="00312F0E" w:rsidRDefault="00312F0E" w:rsidP="00A01641">
            <w:pPr>
              <w:bidi w:val="0"/>
              <w:jc w:val="center"/>
            </w:pPr>
            <w:r w:rsidRPr="00312F0E">
              <w:rPr>
                <w:noProof/>
                <w:lang w:eastAsia="en-US"/>
              </w:rPr>
              <w:drawing>
                <wp:inline distT="0" distB="0" distL="0" distR="0">
                  <wp:extent cx="5553075" cy="2409825"/>
                  <wp:effectExtent l="0" t="0" r="0"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837D9" w:rsidRPr="005F5139" w:rsidRDefault="00D32EEB" w:rsidP="0076649D">
      <w:pPr>
        <w:bidi w:val="0"/>
        <w:rPr>
          <w:sz w:val="18"/>
          <w:szCs w:val="18"/>
        </w:rPr>
      </w:pPr>
      <w:r>
        <w:rPr>
          <w:sz w:val="18"/>
          <w:szCs w:val="18"/>
        </w:rPr>
        <w:t xml:space="preserve"> </w:t>
      </w:r>
      <w:r w:rsidR="00F837D9" w:rsidRPr="005F5139">
        <w:rPr>
          <w:sz w:val="18"/>
          <w:szCs w:val="18"/>
        </w:rPr>
        <w:t>*The data excludes those parts of Jerusalem</w:t>
      </w:r>
      <w:r w:rsidR="00015D61">
        <w:rPr>
          <w:sz w:val="18"/>
          <w:szCs w:val="18"/>
        </w:rPr>
        <w:t xml:space="preserve"> governorate</w:t>
      </w:r>
      <w:r w:rsidR="00F837D9" w:rsidRPr="005F5139">
        <w:rPr>
          <w:sz w:val="18"/>
          <w:szCs w:val="18"/>
        </w:rPr>
        <w:t xml:space="preserve"> which were annexed by </w:t>
      </w:r>
      <w:r w:rsidR="0076649D" w:rsidRPr="005F5139">
        <w:rPr>
          <w:sz w:val="18"/>
          <w:szCs w:val="18"/>
        </w:rPr>
        <w:t>Israel</w:t>
      </w:r>
      <w:r w:rsidR="0076649D">
        <w:rPr>
          <w:sz w:val="18"/>
          <w:szCs w:val="18"/>
        </w:rPr>
        <w:t xml:space="preserve"> occupation </w:t>
      </w:r>
      <w:r w:rsidR="0076649D" w:rsidRPr="005F5139">
        <w:rPr>
          <w:sz w:val="18"/>
          <w:szCs w:val="18"/>
        </w:rPr>
        <w:t xml:space="preserve"> </w:t>
      </w:r>
      <w:r w:rsidR="00F837D9" w:rsidRPr="005F5139">
        <w:rPr>
          <w:sz w:val="18"/>
          <w:szCs w:val="18"/>
        </w:rPr>
        <w:t>in 1967.</w:t>
      </w:r>
    </w:p>
    <w:p w:rsidR="008D407A" w:rsidRPr="00EF0DE5" w:rsidRDefault="008D407A" w:rsidP="00F00180">
      <w:pPr>
        <w:bidi w:val="0"/>
        <w:jc w:val="lowKashida"/>
        <w:rPr>
          <w:b/>
          <w:bCs/>
          <w:color w:val="FF0000"/>
        </w:rPr>
      </w:pPr>
    </w:p>
    <w:p w:rsidR="00D54D4E" w:rsidRPr="003A7559" w:rsidRDefault="00CF3B3A" w:rsidP="008D407A">
      <w:pPr>
        <w:bidi w:val="0"/>
        <w:jc w:val="lowKashida"/>
        <w:rPr>
          <w:b/>
          <w:bCs/>
          <w:color w:val="000000" w:themeColor="text1"/>
        </w:rPr>
      </w:pPr>
      <w:r>
        <w:rPr>
          <w:b/>
          <w:bCs/>
          <w:color w:val="000000" w:themeColor="text1"/>
        </w:rPr>
        <w:t>2</w:t>
      </w:r>
      <w:r w:rsidR="00D54D4E" w:rsidRPr="003A7559">
        <w:rPr>
          <w:b/>
          <w:bCs/>
          <w:color w:val="000000" w:themeColor="text1"/>
        </w:rPr>
        <w:t>.1.5</w:t>
      </w:r>
      <w:r w:rsidR="009967D6" w:rsidRPr="003A7559">
        <w:rPr>
          <w:b/>
          <w:bCs/>
          <w:color w:val="000000" w:themeColor="text1"/>
        </w:rPr>
        <w:t>.</w:t>
      </w:r>
      <w:r w:rsidR="00D54D4E" w:rsidRPr="003A7559">
        <w:rPr>
          <w:b/>
          <w:bCs/>
          <w:color w:val="000000" w:themeColor="text1"/>
        </w:rPr>
        <w:t xml:space="preserve"> Total </w:t>
      </w:r>
      <w:r w:rsidR="00F00180" w:rsidRPr="003A7559">
        <w:rPr>
          <w:b/>
          <w:bCs/>
          <w:color w:val="000000" w:themeColor="text1"/>
        </w:rPr>
        <w:t xml:space="preserve">Supply and </w:t>
      </w:r>
      <w:r w:rsidR="00D54D4E" w:rsidRPr="003A7559">
        <w:rPr>
          <w:b/>
          <w:bCs/>
          <w:color w:val="000000" w:themeColor="text1"/>
        </w:rPr>
        <w:t>Demand</w:t>
      </w:r>
      <w:r w:rsidR="00EE6272">
        <w:rPr>
          <w:b/>
          <w:bCs/>
          <w:color w:val="000000" w:themeColor="text1"/>
        </w:rPr>
        <w:t xml:space="preserve"> for Palestinian Economy</w:t>
      </w:r>
    </w:p>
    <w:p w:rsidR="00F00180" w:rsidRPr="003A7559" w:rsidRDefault="000541B8" w:rsidP="00F06216">
      <w:pPr>
        <w:bidi w:val="0"/>
        <w:jc w:val="lowKashida"/>
        <w:rPr>
          <w:color w:val="000000" w:themeColor="text1"/>
          <w:lang w:eastAsia="en-US"/>
        </w:rPr>
      </w:pPr>
      <w:r w:rsidRPr="003A7559">
        <w:rPr>
          <w:color w:val="000000" w:themeColor="text1"/>
          <w:lang w:eastAsia="en-US"/>
        </w:rPr>
        <w:t xml:space="preserve">Supply and demand </w:t>
      </w:r>
      <w:r w:rsidR="00AC26E6">
        <w:rPr>
          <w:color w:val="000000" w:themeColor="text1"/>
          <w:lang w:eastAsia="en-US"/>
        </w:rPr>
        <w:t>are</w:t>
      </w:r>
      <w:r w:rsidRPr="003A7559">
        <w:rPr>
          <w:color w:val="000000" w:themeColor="text1"/>
          <w:lang w:eastAsia="en-US"/>
        </w:rPr>
        <w:t xml:space="preserve"> fundamental concepts of </w:t>
      </w:r>
      <w:r w:rsidR="005264F2" w:rsidRPr="003A7559">
        <w:rPr>
          <w:color w:val="000000" w:themeColor="text1"/>
          <w:lang w:eastAsia="en-US"/>
        </w:rPr>
        <w:t xml:space="preserve">the </w:t>
      </w:r>
      <w:r w:rsidR="00317E6D">
        <w:rPr>
          <w:color w:val="000000" w:themeColor="text1"/>
          <w:lang w:eastAsia="en-US"/>
        </w:rPr>
        <w:t>national accounts</w:t>
      </w:r>
      <w:r w:rsidR="009967D6" w:rsidRPr="003A7559">
        <w:rPr>
          <w:color w:val="000000" w:themeColor="text1"/>
          <w:lang w:eastAsia="en-US"/>
        </w:rPr>
        <w:t xml:space="preserve">. Supply refers to </w:t>
      </w:r>
      <w:r w:rsidR="005264F2" w:rsidRPr="003A7559">
        <w:rPr>
          <w:color w:val="000000" w:themeColor="text1"/>
          <w:lang w:eastAsia="en-US"/>
        </w:rPr>
        <w:t xml:space="preserve">the </w:t>
      </w:r>
      <w:r w:rsidR="009967D6" w:rsidRPr="003A7559">
        <w:rPr>
          <w:color w:val="000000" w:themeColor="text1"/>
          <w:lang w:eastAsia="en-US"/>
        </w:rPr>
        <w:t xml:space="preserve">gross </w:t>
      </w:r>
      <w:r w:rsidR="005264F2" w:rsidRPr="003A7559">
        <w:rPr>
          <w:color w:val="000000" w:themeColor="text1"/>
          <w:lang w:eastAsia="en-US"/>
        </w:rPr>
        <w:t>o</w:t>
      </w:r>
      <w:r w:rsidR="009967D6" w:rsidRPr="003A7559">
        <w:rPr>
          <w:color w:val="000000" w:themeColor="text1"/>
          <w:lang w:eastAsia="en-US"/>
        </w:rPr>
        <w:t xml:space="preserve">utput and </w:t>
      </w:r>
      <w:r w:rsidR="005264F2" w:rsidRPr="003A7559">
        <w:rPr>
          <w:color w:val="000000" w:themeColor="text1"/>
          <w:lang w:eastAsia="en-US"/>
        </w:rPr>
        <w:t>i</w:t>
      </w:r>
      <w:r w:rsidR="000B2807" w:rsidRPr="003A7559">
        <w:rPr>
          <w:color w:val="000000" w:themeColor="text1"/>
          <w:lang w:eastAsia="en-US"/>
        </w:rPr>
        <w:t>mports of goods and se</w:t>
      </w:r>
      <w:r w:rsidR="009967D6" w:rsidRPr="003A7559">
        <w:rPr>
          <w:color w:val="000000" w:themeColor="text1"/>
          <w:lang w:eastAsia="en-US"/>
        </w:rPr>
        <w:t xml:space="preserve">rvices, while demand refers to </w:t>
      </w:r>
      <w:r w:rsidR="005264F2" w:rsidRPr="003A7559">
        <w:rPr>
          <w:color w:val="000000" w:themeColor="text1"/>
          <w:lang w:eastAsia="en-US"/>
        </w:rPr>
        <w:t>i</w:t>
      </w:r>
      <w:r w:rsidR="000B2807" w:rsidRPr="003A7559">
        <w:rPr>
          <w:color w:val="000000" w:themeColor="text1"/>
          <w:lang w:eastAsia="en-US"/>
        </w:rPr>
        <w:t>ntermediate consumption,</w:t>
      </w:r>
      <w:r w:rsidR="00B223C7" w:rsidRPr="003A7559">
        <w:rPr>
          <w:color w:val="000000" w:themeColor="text1"/>
          <w:lang w:eastAsia="en-US"/>
        </w:rPr>
        <w:t xml:space="preserve"> </w:t>
      </w:r>
      <w:r w:rsidR="005264F2" w:rsidRPr="003A7559">
        <w:rPr>
          <w:color w:val="000000" w:themeColor="text1"/>
          <w:lang w:eastAsia="en-US"/>
        </w:rPr>
        <w:t>f</w:t>
      </w:r>
      <w:r w:rsidR="00B223C7" w:rsidRPr="003A7559">
        <w:rPr>
          <w:color w:val="000000" w:themeColor="text1"/>
          <w:lang w:eastAsia="en-US"/>
        </w:rPr>
        <w:t xml:space="preserve">inal consumption, </w:t>
      </w:r>
      <w:r w:rsidR="005264F2" w:rsidRPr="003A7559">
        <w:rPr>
          <w:color w:val="000000" w:themeColor="text1"/>
          <w:lang w:eastAsia="en-US"/>
        </w:rPr>
        <w:t>g</w:t>
      </w:r>
      <w:r w:rsidR="009967D6" w:rsidRPr="003A7559">
        <w:rPr>
          <w:color w:val="000000" w:themeColor="text1"/>
          <w:lang w:eastAsia="en-US"/>
        </w:rPr>
        <w:t xml:space="preserve">ross </w:t>
      </w:r>
      <w:r w:rsidR="005264F2" w:rsidRPr="003A7559">
        <w:rPr>
          <w:color w:val="000000" w:themeColor="text1"/>
          <w:lang w:eastAsia="en-US"/>
        </w:rPr>
        <w:t>c</w:t>
      </w:r>
      <w:r w:rsidR="009967D6" w:rsidRPr="003A7559">
        <w:rPr>
          <w:color w:val="000000" w:themeColor="text1"/>
          <w:lang w:eastAsia="en-US"/>
        </w:rPr>
        <w:t xml:space="preserve">apital </w:t>
      </w:r>
      <w:r w:rsidR="005264F2" w:rsidRPr="003A7559">
        <w:rPr>
          <w:color w:val="000000" w:themeColor="text1"/>
          <w:lang w:eastAsia="en-US"/>
        </w:rPr>
        <w:t>f</w:t>
      </w:r>
      <w:r w:rsidR="009967D6" w:rsidRPr="003A7559">
        <w:rPr>
          <w:color w:val="000000" w:themeColor="text1"/>
          <w:lang w:eastAsia="en-US"/>
        </w:rPr>
        <w:t xml:space="preserve">ormation, and </w:t>
      </w:r>
      <w:r w:rsidR="005264F2" w:rsidRPr="003A7559">
        <w:rPr>
          <w:color w:val="000000" w:themeColor="text1"/>
          <w:lang w:eastAsia="en-US"/>
        </w:rPr>
        <w:t>e</w:t>
      </w:r>
      <w:r w:rsidR="00B223C7" w:rsidRPr="003A7559">
        <w:rPr>
          <w:color w:val="000000" w:themeColor="text1"/>
          <w:lang w:eastAsia="en-US"/>
        </w:rPr>
        <w:t>xports of goods and services.</w:t>
      </w:r>
      <w:r w:rsidR="00E64649">
        <w:rPr>
          <w:color w:val="000000" w:themeColor="text1"/>
          <w:lang w:eastAsia="en-US"/>
        </w:rPr>
        <w:t xml:space="preserve"> </w:t>
      </w:r>
      <w:r w:rsidR="00AC26E6">
        <w:rPr>
          <w:color w:val="000000" w:themeColor="text1"/>
          <w:lang w:eastAsia="en-US"/>
        </w:rPr>
        <w:t>Gross</w:t>
      </w:r>
      <w:r w:rsidR="00D66A08">
        <w:rPr>
          <w:color w:val="000000" w:themeColor="text1"/>
          <w:lang w:eastAsia="en-US"/>
        </w:rPr>
        <w:t xml:space="preserve"> supply or </w:t>
      </w:r>
      <w:r w:rsidR="00093358">
        <w:rPr>
          <w:color w:val="000000" w:themeColor="text1"/>
          <w:lang w:eastAsia="en-US"/>
        </w:rPr>
        <w:t>demand</w:t>
      </w:r>
      <w:r w:rsidR="00E64649">
        <w:rPr>
          <w:color w:val="000000" w:themeColor="text1"/>
          <w:lang w:eastAsia="en-US"/>
        </w:rPr>
        <w:t xml:space="preserve"> at current prices </w:t>
      </w:r>
      <w:r w:rsidR="00AC26E6">
        <w:rPr>
          <w:color w:val="000000" w:themeColor="text1"/>
          <w:lang w:eastAsia="en-US"/>
        </w:rPr>
        <w:t xml:space="preserve">in Palestine </w:t>
      </w:r>
      <w:r w:rsidR="00E64649">
        <w:rPr>
          <w:color w:val="000000" w:themeColor="text1"/>
          <w:lang w:eastAsia="en-US"/>
        </w:rPr>
        <w:t>reached</w:t>
      </w:r>
      <w:r w:rsidR="00E247CE">
        <w:rPr>
          <w:color w:val="000000" w:themeColor="text1"/>
          <w:lang w:eastAsia="en-US"/>
        </w:rPr>
        <w:t xml:space="preserve"> USD</w:t>
      </w:r>
      <w:r w:rsidR="00E64649">
        <w:rPr>
          <w:color w:val="000000" w:themeColor="text1"/>
          <w:lang w:eastAsia="en-US"/>
        </w:rPr>
        <w:t xml:space="preserve"> </w:t>
      </w:r>
      <w:r w:rsidR="00F86370" w:rsidRPr="00643B0A">
        <w:rPr>
          <w:rFonts w:cs="Simplified Arabic"/>
        </w:rPr>
        <w:t>35</w:t>
      </w:r>
      <w:r w:rsidR="00F12E13">
        <w:rPr>
          <w:rFonts w:cs="Simplified Arabic"/>
        </w:rPr>
        <w:t>,</w:t>
      </w:r>
      <w:r w:rsidR="00F06216">
        <w:rPr>
          <w:rFonts w:cs="Simplified Arabic" w:hint="cs"/>
          <w:rtl/>
        </w:rPr>
        <w:t>283</w:t>
      </w:r>
      <w:r w:rsidR="00F86370">
        <w:rPr>
          <w:rFonts w:cs="Simplified Arabic"/>
        </w:rPr>
        <w:t xml:space="preserve"> </w:t>
      </w:r>
      <w:r w:rsidR="00E64649">
        <w:rPr>
          <w:color w:val="000000" w:themeColor="text1"/>
          <w:lang w:eastAsia="en-US"/>
        </w:rPr>
        <w:t>million</w:t>
      </w:r>
      <w:r w:rsidR="00AC26E6">
        <w:rPr>
          <w:color w:val="000000" w:themeColor="text1"/>
          <w:lang w:eastAsia="en-US"/>
        </w:rPr>
        <w:t xml:space="preserve"> for the year </w:t>
      </w:r>
      <w:r w:rsidR="007E3427">
        <w:rPr>
          <w:color w:val="000000" w:themeColor="text1"/>
          <w:lang w:eastAsia="en-US"/>
        </w:rPr>
        <w:t>2018</w:t>
      </w:r>
      <w:r w:rsidR="00E64649">
        <w:rPr>
          <w:color w:val="000000" w:themeColor="text1"/>
          <w:lang w:eastAsia="en-US"/>
        </w:rPr>
        <w:t>.</w:t>
      </w:r>
    </w:p>
    <w:p w:rsidR="00B3749D" w:rsidRPr="00EF0DE5" w:rsidRDefault="00B3749D" w:rsidP="00B3749D">
      <w:pPr>
        <w:bidi w:val="0"/>
        <w:jc w:val="lowKashida"/>
        <w:rPr>
          <w:rFonts w:asciiTheme="majorBidi" w:hAnsiTheme="majorBidi" w:cstheme="majorBidi"/>
          <w:color w:val="000000" w:themeColor="text1"/>
          <w:sz w:val="28"/>
          <w:szCs w:val="28"/>
          <w:lang w:eastAsia="en-US"/>
        </w:rPr>
      </w:pPr>
    </w:p>
    <w:p w:rsidR="00D021EE" w:rsidRPr="00246F08" w:rsidRDefault="005264F2" w:rsidP="003760CC">
      <w:pPr>
        <w:bidi w:val="0"/>
        <w:jc w:val="center"/>
        <w:rPr>
          <w:rFonts w:ascii="Arial" w:hAnsi="Arial" w:cs="Arial"/>
          <w:b/>
          <w:bCs/>
          <w:color w:val="0000FF"/>
          <w:sz w:val="22"/>
          <w:szCs w:val="22"/>
          <w:lang w:eastAsia="en-US"/>
        </w:rPr>
      </w:pPr>
      <w:r w:rsidRPr="00C642DD">
        <w:rPr>
          <w:rFonts w:ascii="Arial" w:hAnsi="Arial" w:cs="Arial"/>
          <w:b/>
          <w:bCs/>
          <w:color w:val="000000" w:themeColor="text1"/>
          <w:sz w:val="22"/>
          <w:szCs w:val="22"/>
          <w:lang w:eastAsia="en-US"/>
        </w:rPr>
        <w:t>Comp</w:t>
      </w:r>
      <w:r w:rsidR="00921D12" w:rsidRPr="00C642DD">
        <w:rPr>
          <w:rFonts w:ascii="Arial" w:hAnsi="Arial" w:cs="Arial"/>
          <w:b/>
          <w:bCs/>
          <w:color w:val="000000" w:themeColor="text1"/>
          <w:sz w:val="22"/>
          <w:szCs w:val="22"/>
          <w:lang w:eastAsia="en-US"/>
        </w:rPr>
        <w:t>o</w:t>
      </w:r>
      <w:r w:rsidRPr="00C642DD">
        <w:rPr>
          <w:rFonts w:ascii="Arial" w:hAnsi="Arial" w:cs="Arial"/>
          <w:b/>
          <w:bCs/>
          <w:color w:val="000000" w:themeColor="text1"/>
          <w:sz w:val="22"/>
          <w:szCs w:val="22"/>
          <w:lang w:eastAsia="en-US"/>
        </w:rPr>
        <w:t>nents of s</w:t>
      </w:r>
      <w:r w:rsidR="00B3749D" w:rsidRPr="00C642DD">
        <w:rPr>
          <w:rFonts w:ascii="Arial" w:hAnsi="Arial" w:cs="Arial"/>
          <w:b/>
          <w:bCs/>
          <w:color w:val="000000" w:themeColor="text1"/>
          <w:sz w:val="22"/>
          <w:szCs w:val="22"/>
          <w:lang w:eastAsia="en-US"/>
        </w:rPr>
        <w:t xml:space="preserve">upply and </w:t>
      </w:r>
      <w:r w:rsidR="00E05B72" w:rsidRPr="00C642DD">
        <w:rPr>
          <w:rFonts w:ascii="Arial" w:hAnsi="Arial" w:cs="Arial"/>
          <w:b/>
          <w:bCs/>
          <w:color w:val="000000" w:themeColor="text1"/>
          <w:sz w:val="22"/>
          <w:szCs w:val="22"/>
          <w:lang w:eastAsia="en-US"/>
        </w:rPr>
        <w:t>d</w:t>
      </w:r>
      <w:r w:rsidR="00B3749D" w:rsidRPr="00C642DD">
        <w:rPr>
          <w:rFonts w:ascii="Arial" w:hAnsi="Arial" w:cs="Arial"/>
          <w:b/>
          <w:bCs/>
          <w:color w:val="000000" w:themeColor="text1"/>
          <w:sz w:val="22"/>
          <w:szCs w:val="22"/>
          <w:lang w:eastAsia="en-US"/>
        </w:rPr>
        <w:t xml:space="preserve">emand </w:t>
      </w:r>
      <w:r w:rsidR="00241054" w:rsidRPr="00C642DD">
        <w:rPr>
          <w:rFonts w:ascii="Arial" w:hAnsi="Arial" w:cs="Arial"/>
          <w:b/>
          <w:bCs/>
          <w:color w:val="000000" w:themeColor="text1"/>
          <w:sz w:val="22"/>
          <w:szCs w:val="22"/>
          <w:lang w:eastAsia="en-US"/>
        </w:rPr>
        <w:t xml:space="preserve">in </w:t>
      </w:r>
      <w:r w:rsidR="00015D61" w:rsidRPr="00C642DD">
        <w:rPr>
          <w:rFonts w:ascii="Arial" w:hAnsi="Arial" w:cs="Arial"/>
          <w:b/>
          <w:bCs/>
          <w:color w:val="000000" w:themeColor="text1"/>
          <w:sz w:val="22"/>
          <w:szCs w:val="22"/>
          <w:lang w:eastAsia="en-US"/>
        </w:rPr>
        <w:t xml:space="preserve">the </w:t>
      </w:r>
      <w:r w:rsidR="00241054" w:rsidRPr="00C642DD">
        <w:rPr>
          <w:rFonts w:ascii="Arial" w:hAnsi="Arial" w:cs="Arial"/>
          <w:b/>
          <w:bCs/>
          <w:color w:val="000000" w:themeColor="text1"/>
          <w:sz w:val="22"/>
          <w:szCs w:val="22"/>
          <w:lang w:eastAsia="en-US"/>
        </w:rPr>
        <w:t xml:space="preserve">Palestinian </w:t>
      </w:r>
      <w:r w:rsidR="00A73E4B" w:rsidRPr="00BB48A5">
        <w:rPr>
          <w:rFonts w:ascii="Arial" w:hAnsi="Arial" w:cs="Arial"/>
          <w:b/>
          <w:bCs/>
          <w:color w:val="000000" w:themeColor="text1"/>
          <w:sz w:val="22"/>
          <w:szCs w:val="22"/>
          <w:lang w:eastAsia="en-US"/>
        </w:rPr>
        <w:t>economy</w:t>
      </w:r>
      <w:r w:rsidR="00B3749D" w:rsidRPr="00BB48A5">
        <w:rPr>
          <w:rFonts w:ascii="Arial" w:hAnsi="Arial" w:cs="Arial"/>
          <w:b/>
          <w:bCs/>
          <w:color w:val="000000" w:themeColor="text1"/>
          <w:sz w:val="22"/>
          <w:szCs w:val="22"/>
          <w:lang w:eastAsia="en-US"/>
        </w:rPr>
        <w:t xml:space="preserve"> for</w:t>
      </w:r>
      <w:r w:rsidR="00015D61" w:rsidRPr="00BB48A5">
        <w:rPr>
          <w:rFonts w:ascii="Arial" w:hAnsi="Arial" w:cs="Arial"/>
          <w:b/>
          <w:bCs/>
          <w:color w:val="000000" w:themeColor="text1"/>
          <w:sz w:val="22"/>
          <w:szCs w:val="22"/>
          <w:lang w:eastAsia="en-US"/>
        </w:rPr>
        <w:t xml:space="preserve"> </w:t>
      </w:r>
      <w:r w:rsidR="003760CC">
        <w:rPr>
          <w:rFonts w:ascii="Arial" w:hAnsi="Arial" w:cs="Arial"/>
          <w:b/>
          <w:bCs/>
          <w:color w:val="000000" w:themeColor="text1"/>
          <w:sz w:val="22"/>
          <w:szCs w:val="22"/>
          <w:lang w:eastAsia="en-US"/>
        </w:rPr>
        <w:t>2018</w:t>
      </w:r>
    </w:p>
    <w:tbl>
      <w:tblPr>
        <w:tblStyle w:val="TableGrid"/>
        <w:tblW w:w="8930" w:type="dxa"/>
        <w:jc w:val="center"/>
        <w:tblLayout w:type="fixed"/>
        <w:tblLook w:val="04A0"/>
      </w:tblPr>
      <w:tblGrid>
        <w:gridCol w:w="4372"/>
        <w:gridCol w:w="282"/>
        <w:gridCol w:w="4276"/>
      </w:tblGrid>
      <w:tr w:rsidR="008D407A" w:rsidTr="000C2A54">
        <w:trPr>
          <w:trHeight w:val="3585"/>
          <w:jc w:val="center"/>
        </w:trPr>
        <w:tc>
          <w:tcPr>
            <w:tcW w:w="4372" w:type="dxa"/>
            <w:vAlign w:val="center"/>
          </w:tcPr>
          <w:p w:rsidR="008D407A" w:rsidRDefault="008D407A" w:rsidP="00700F2F">
            <w:pPr>
              <w:bidi w:val="0"/>
              <w:jc w:val="center"/>
              <w:rPr>
                <w:rFonts w:asciiTheme="majorBidi" w:hAnsiTheme="majorBidi" w:cstheme="majorBidi"/>
                <w:color w:val="FF0000"/>
                <w:lang w:eastAsia="en-US"/>
              </w:rPr>
            </w:pPr>
            <w:bookmarkStart w:id="0" w:name="OLE_LINK4"/>
            <w:r w:rsidRPr="008D407A">
              <w:rPr>
                <w:rFonts w:asciiTheme="majorBidi" w:hAnsiTheme="majorBidi" w:cstheme="majorBidi"/>
                <w:noProof/>
                <w:color w:val="FF0000"/>
                <w:lang w:eastAsia="en-US"/>
              </w:rPr>
              <w:drawing>
                <wp:inline distT="0" distB="0" distL="0" distR="0">
                  <wp:extent cx="2875005" cy="2207740"/>
                  <wp:effectExtent l="0" t="0" r="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bookmarkEnd w:id="0"/>
          </w:p>
        </w:tc>
        <w:tc>
          <w:tcPr>
            <w:tcW w:w="282" w:type="dxa"/>
            <w:tcBorders>
              <w:top w:val="nil"/>
              <w:bottom w:val="nil"/>
            </w:tcBorders>
            <w:vAlign w:val="center"/>
          </w:tcPr>
          <w:p w:rsidR="008D407A" w:rsidRDefault="008D407A" w:rsidP="00700F2F">
            <w:pPr>
              <w:bidi w:val="0"/>
              <w:jc w:val="center"/>
              <w:rPr>
                <w:rFonts w:asciiTheme="majorBidi" w:hAnsiTheme="majorBidi" w:cstheme="majorBidi"/>
                <w:color w:val="FF0000"/>
                <w:lang w:eastAsia="en-US"/>
              </w:rPr>
            </w:pPr>
          </w:p>
        </w:tc>
        <w:tc>
          <w:tcPr>
            <w:tcW w:w="4276" w:type="dxa"/>
            <w:vAlign w:val="center"/>
          </w:tcPr>
          <w:p w:rsidR="008D407A" w:rsidRDefault="008D407A" w:rsidP="00700F2F">
            <w:pPr>
              <w:bidi w:val="0"/>
              <w:jc w:val="center"/>
              <w:rPr>
                <w:rFonts w:asciiTheme="majorBidi" w:hAnsiTheme="majorBidi" w:cstheme="majorBidi"/>
                <w:color w:val="FF0000"/>
                <w:lang w:eastAsia="en-US"/>
              </w:rPr>
            </w:pPr>
            <w:r w:rsidRPr="008D407A">
              <w:rPr>
                <w:rFonts w:asciiTheme="majorBidi" w:hAnsiTheme="majorBidi" w:cstheme="majorBidi"/>
                <w:noProof/>
                <w:color w:val="FF0000"/>
                <w:lang w:eastAsia="en-US"/>
              </w:rPr>
              <w:drawing>
                <wp:inline distT="0" distB="0" distL="0" distR="0">
                  <wp:extent cx="2493490" cy="2290119"/>
                  <wp:effectExtent l="19050" t="0" r="206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B223C7" w:rsidRPr="00700F2F" w:rsidRDefault="00B223C7" w:rsidP="00B223C7">
      <w:pPr>
        <w:bidi w:val="0"/>
        <w:jc w:val="lowKashida"/>
        <w:rPr>
          <w:color w:val="FF0000"/>
          <w:sz w:val="28"/>
          <w:szCs w:val="28"/>
          <w:lang w:eastAsia="en-US"/>
        </w:rPr>
      </w:pPr>
    </w:p>
    <w:p w:rsidR="00461B79" w:rsidRPr="003A7559" w:rsidRDefault="00CF3B3A" w:rsidP="00241054">
      <w:pPr>
        <w:bidi w:val="0"/>
        <w:jc w:val="lowKashida"/>
        <w:rPr>
          <w:b/>
          <w:bCs/>
        </w:rPr>
      </w:pPr>
      <w:r>
        <w:rPr>
          <w:b/>
          <w:bCs/>
        </w:rPr>
        <w:t>2</w:t>
      </w:r>
      <w:r w:rsidR="00EA4E88" w:rsidRPr="003A7559">
        <w:rPr>
          <w:b/>
          <w:bCs/>
        </w:rPr>
        <w:t>.1.6</w:t>
      </w:r>
      <w:r w:rsidR="00461B79" w:rsidRPr="003A7559">
        <w:rPr>
          <w:b/>
          <w:bCs/>
        </w:rPr>
        <w:t xml:space="preserve"> Per Capita Indicators</w:t>
      </w:r>
      <w:r w:rsidR="00D27235" w:rsidRPr="003A7559">
        <w:rPr>
          <w:b/>
          <w:bCs/>
        </w:rPr>
        <w:t xml:space="preserve"> </w:t>
      </w:r>
      <w:r w:rsidR="00710338">
        <w:rPr>
          <w:b/>
          <w:bCs/>
        </w:rPr>
        <w:t>at constant prices</w:t>
      </w:r>
    </w:p>
    <w:p w:rsidR="00842CB9" w:rsidRPr="007D58D2" w:rsidRDefault="00461B79" w:rsidP="008724A6">
      <w:pPr>
        <w:bidi w:val="0"/>
        <w:jc w:val="lowKashida"/>
        <w:rPr>
          <w:color w:val="000000" w:themeColor="text1"/>
          <w:lang w:eastAsia="en-US"/>
        </w:rPr>
      </w:pPr>
      <w:r w:rsidRPr="003A7559">
        <w:t>GDP</w:t>
      </w:r>
      <w:r w:rsidR="009D6C98" w:rsidRPr="003A7559">
        <w:t xml:space="preserve"> per capita</w:t>
      </w:r>
      <w:r w:rsidRPr="003A7559">
        <w:t>,</w:t>
      </w:r>
      <w:r w:rsidR="00A42256" w:rsidRPr="003A7559">
        <w:t xml:space="preserve"> </w:t>
      </w:r>
      <w:r w:rsidRPr="003A7559">
        <w:t>GNI</w:t>
      </w:r>
      <w:r w:rsidR="009D6C98" w:rsidRPr="003A7559">
        <w:t xml:space="preserve"> per </w:t>
      </w:r>
      <w:r w:rsidR="00693A3F" w:rsidRPr="003A7559">
        <w:t xml:space="preserve">capita </w:t>
      </w:r>
      <w:r w:rsidR="008504EA" w:rsidRPr="003A7559">
        <w:t>a</w:t>
      </w:r>
      <w:r w:rsidR="00DF57C7" w:rsidRPr="003A7559">
        <w:t>nd</w:t>
      </w:r>
      <w:r w:rsidR="00A42256" w:rsidRPr="003A7559">
        <w:t xml:space="preserve"> </w:t>
      </w:r>
      <w:r w:rsidRPr="003A7559">
        <w:t xml:space="preserve">GNDI </w:t>
      </w:r>
      <w:r w:rsidR="00A42256" w:rsidRPr="003A7559">
        <w:t>p</w:t>
      </w:r>
      <w:r w:rsidRPr="003A7559">
        <w:t xml:space="preserve">er </w:t>
      </w:r>
      <w:r w:rsidR="00A42256" w:rsidRPr="003A7559">
        <w:t>c</w:t>
      </w:r>
      <w:r w:rsidRPr="003A7559">
        <w:t>apita</w:t>
      </w:r>
      <w:r w:rsidR="009D6C98" w:rsidRPr="003A7559">
        <w:t xml:space="preserve"> </w:t>
      </w:r>
      <w:r w:rsidR="006721B2" w:rsidRPr="003A7559">
        <w:t xml:space="preserve">are important indicators </w:t>
      </w:r>
      <w:r w:rsidR="00625F15">
        <w:t>to</w:t>
      </w:r>
      <w:r w:rsidR="00625F15" w:rsidRPr="003A7559">
        <w:t xml:space="preserve"> </w:t>
      </w:r>
      <w:r w:rsidR="006721B2" w:rsidRPr="003A7559">
        <w:t>measure different per capita indicators</w:t>
      </w:r>
      <w:r w:rsidR="00EF7684" w:rsidRPr="003A7559">
        <w:t>.</w:t>
      </w:r>
      <w:r w:rsidR="006721B2" w:rsidRPr="003A7559">
        <w:t xml:space="preserve"> </w:t>
      </w:r>
      <w:r w:rsidR="00625F15" w:rsidRPr="003A7559">
        <w:t>The</w:t>
      </w:r>
      <w:r w:rsidR="00625F15">
        <w:t>y</w:t>
      </w:r>
      <w:r w:rsidR="00625F15" w:rsidRPr="003A7559">
        <w:t xml:space="preserve"> </w:t>
      </w:r>
      <w:r w:rsidR="00EF7684" w:rsidRPr="003A7559">
        <w:t xml:space="preserve">are </w:t>
      </w:r>
      <w:r w:rsidR="006721B2" w:rsidRPr="003A7559">
        <w:t xml:space="preserve">calculated by dividing the indicator by </w:t>
      </w:r>
      <w:r w:rsidR="00EF7684" w:rsidRPr="003A7559">
        <w:t xml:space="preserve">the number of </w:t>
      </w:r>
      <w:r w:rsidR="006721B2" w:rsidRPr="003A7559">
        <w:t xml:space="preserve">population </w:t>
      </w:r>
      <w:r w:rsidR="00517073" w:rsidRPr="003A7559">
        <w:t>over</w:t>
      </w:r>
      <w:r w:rsidR="006721B2" w:rsidRPr="003A7559">
        <w:t xml:space="preserve"> a specific period of time.</w:t>
      </w:r>
      <w:r w:rsidR="0018338A">
        <w:t xml:space="preserve"> </w:t>
      </w:r>
      <w:r w:rsidR="00842CB9" w:rsidRPr="009D6C98">
        <w:rPr>
          <w:color w:val="000000" w:themeColor="text1"/>
          <w:lang w:eastAsia="en-US"/>
        </w:rPr>
        <w:t xml:space="preserve">GDP per capita was </w:t>
      </w:r>
      <w:r w:rsidR="00842CB9" w:rsidRPr="009D6C98">
        <w:rPr>
          <w:rFonts w:cs="Simplified Arabic"/>
          <w:color w:val="000000" w:themeColor="text1"/>
          <w:lang w:val="en-GB"/>
        </w:rPr>
        <w:t>USD</w:t>
      </w:r>
      <w:r w:rsidR="00842CB9" w:rsidRPr="009D6C98">
        <w:rPr>
          <w:rFonts w:cs="Simplified Arabic"/>
          <w:color w:val="000000" w:themeColor="text1"/>
        </w:rPr>
        <w:t xml:space="preserve"> </w:t>
      </w:r>
      <w:r w:rsidR="00842CB9">
        <w:rPr>
          <w:rFonts w:cs="Simplified Arabic"/>
          <w:color w:val="000000" w:themeColor="text1"/>
        </w:rPr>
        <w:t>3</w:t>
      </w:r>
      <w:r w:rsidR="00F12E13">
        <w:rPr>
          <w:rFonts w:cs="Simplified Arabic"/>
          <w:color w:val="000000" w:themeColor="text1"/>
        </w:rPr>
        <w:t>,</w:t>
      </w:r>
      <w:r w:rsidR="00792E0C">
        <w:rPr>
          <w:rFonts w:cs="Simplified Arabic"/>
          <w:color w:val="000000" w:themeColor="text1"/>
        </w:rPr>
        <w:t>418</w:t>
      </w:r>
      <w:r w:rsidR="00842CB9">
        <w:rPr>
          <w:rFonts w:cs="Simplified Arabic"/>
          <w:color w:val="000000" w:themeColor="text1"/>
        </w:rPr>
        <w:t xml:space="preserve"> </w:t>
      </w:r>
      <w:r w:rsidR="00842CB9" w:rsidRPr="009D6C98">
        <w:rPr>
          <w:color w:val="000000" w:themeColor="text1"/>
          <w:lang w:eastAsia="en-US"/>
        </w:rPr>
        <w:t xml:space="preserve">during </w:t>
      </w:r>
      <w:r w:rsidR="00842CB9">
        <w:rPr>
          <w:color w:val="000000" w:themeColor="text1"/>
          <w:lang w:eastAsia="en-US"/>
        </w:rPr>
        <w:t>2018 showing a decrease of 1.</w:t>
      </w:r>
      <w:r w:rsidR="00792E0C">
        <w:rPr>
          <w:color w:val="000000" w:themeColor="text1"/>
          <w:lang w:eastAsia="en-US"/>
        </w:rPr>
        <w:t>3</w:t>
      </w:r>
      <w:r w:rsidR="00842CB9" w:rsidRPr="009D6C98">
        <w:rPr>
          <w:color w:val="000000" w:themeColor="text1"/>
          <w:lang w:eastAsia="en-US"/>
        </w:rPr>
        <w:t xml:space="preserve">% compared </w:t>
      </w:r>
      <w:r w:rsidR="00842CB9">
        <w:rPr>
          <w:color w:val="000000" w:themeColor="text1"/>
          <w:lang w:eastAsia="en-US"/>
        </w:rPr>
        <w:t>to</w:t>
      </w:r>
      <w:r w:rsidR="00842CB9" w:rsidRPr="009D6C98">
        <w:rPr>
          <w:color w:val="000000" w:themeColor="text1"/>
          <w:lang w:eastAsia="en-US"/>
        </w:rPr>
        <w:t xml:space="preserve"> the previous year. </w:t>
      </w:r>
      <w:r w:rsidR="0018338A">
        <w:rPr>
          <w:color w:val="000000" w:themeColor="text1"/>
          <w:lang w:eastAsia="en-US"/>
        </w:rPr>
        <w:t xml:space="preserve">While </w:t>
      </w:r>
      <w:r w:rsidR="00842CB9" w:rsidRPr="007D58D2">
        <w:rPr>
          <w:color w:val="000000" w:themeColor="text1"/>
          <w:lang w:eastAsia="en-US"/>
        </w:rPr>
        <w:t xml:space="preserve">GNI per capita was USD </w:t>
      </w:r>
      <w:r w:rsidR="00792E0C">
        <w:rPr>
          <w:color w:val="000000" w:themeColor="text1"/>
          <w:lang w:eastAsia="en-US"/>
        </w:rPr>
        <w:t>3</w:t>
      </w:r>
      <w:r w:rsidR="00842CB9" w:rsidRPr="006B43A3">
        <w:rPr>
          <w:color w:val="000000" w:themeColor="text1"/>
          <w:lang w:eastAsia="en-US"/>
        </w:rPr>
        <w:t>,</w:t>
      </w:r>
      <w:r w:rsidR="00792E0C">
        <w:rPr>
          <w:color w:val="000000" w:themeColor="text1"/>
          <w:lang w:eastAsia="en-US"/>
        </w:rPr>
        <w:t>966</w:t>
      </w:r>
      <w:r w:rsidR="00842CB9">
        <w:rPr>
          <w:color w:val="000000" w:themeColor="text1"/>
          <w:lang w:eastAsia="en-US"/>
        </w:rPr>
        <w:t xml:space="preserve"> </w:t>
      </w:r>
      <w:r w:rsidR="00842CB9" w:rsidRPr="007D58D2">
        <w:rPr>
          <w:color w:val="000000" w:themeColor="text1"/>
          <w:lang w:eastAsia="en-US"/>
        </w:rPr>
        <w:t xml:space="preserve">reflecting </w:t>
      </w:r>
      <w:r w:rsidR="00842CB9">
        <w:rPr>
          <w:color w:val="000000" w:themeColor="text1"/>
          <w:lang w:eastAsia="en-US"/>
        </w:rPr>
        <w:t xml:space="preserve">an increase of </w:t>
      </w:r>
      <w:r w:rsidR="00792E0C">
        <w:rPr>
          <w:color w:val="000000" w:themeColor="text1"/>
          <w:lang w:eastAsia="en-US"/>
        </w:rPr>
        <w:t>1.9</w:t>
      </w:r>
      <w:r w:rsidR="00842CB9" w:rsidRPr="007D58D2">
        <w:rPr>
          <w:color w:val="000000" w:themeColor="text1"/>
          <w:lang w:eastAsia="en-US"/>
        </w:rPr>
        <w:t xml:space="preserve">% compared </w:t>
      </w:r>
      <w:r w:rsidR="00842CB9">
        <w:rPr>
          <w:color w:val="000000" w:themeColor="text1"/>
          <w:lang w:eastAsia="en-US"/>
        </w:rPr>
        <w:t>to</w:t>
      </w:r>
      <w:r w:rsidR="00842CB9" w:rsidRPr="007D58D2">
        <w:rPr>
          <w:color w:val="000000" w:themeColor="text1"/>
          <w:lang w:eastAsia="en-US"/>
        </w:rPr>
        <w:t xml:space="preserve"> </w:t>
      </w:r>
      <w:r w:rsidR="00842CB9">
        <w:rPr>
          <w:color w:val="000000" w:themeColor="text1"/>
          <w:lang w:eastAsia="en-US"/>
        </w:rPr>
        <w:t>2017</w:t>
      </w:r>
      <w:r w:rsidR="00842CB9" w:rsidRPr="007D58D2">
        <w:rPr>
          <w:color w:val="000000" w:themeColor="text1"/>
          <w:lang w:eastAsia="en-US"/>
        </w:rPr>
        <w:t>.</w:t>
      </w:r>
      <w:r w:rsidR="00842CB9">
        <w:rPr>
          <w:color w:val="000000" w:themeColor="text1"/>
          <w:lang w:eastAsia="en-US"/>
        </w:rPr>
        <w:t xml:space="preserve"> </w:t>
      </w:r>
      <w:r w:rsidR="00842CB9" w:rsidRPr="007D58D2">
        <w:rPr>
          <w:color w:val="000000" w:themeColor="text1"/>
          <w:lang w:eastAsia="en-US"/>
        </w:rPr>
        <w:t>GNDI per capita</w:t>
      </w:r>
      <w:r w:rsidR="00842CB9">
        <w:rPr>
          <w:color w:val="000000" w:themeColor="text1"/>
          <w:lang w:eastAsia="en-US"/>
        </w:rPr>
        <w:t xml:space="preserve"> was </w:t>
      </w:r>
      <w:r w:rsidR="00842CB9" w:rsidRPr="007D58D2">
        <w:rPr>
          <w:color w:val="000000" w:themeColor="text1"/>
          <w:lang w:eastAsia="en-US"/>
        </w:rPr>
        <w:t>USD</w:t>
      </w:r>
      <w:r w:rsidR="00842CB9">
        <w:rPr>
          <w:color w:val="000000" w:themeColor="text1"/>
          <w:lang w:eastAsia="en-US"/>
        </w:rPr>
        <w:t xml:space="preserve"> </w:t>
      </w:r>
      <w:r w:rsidR="00842CB9">
        <w:rPr>
          <w:rFonts w:cs="Simplified Arabic"/>
          <w:color w:val="000000" w:themeColor="text1"/>
        </w:rPr>
        <w:t>4</w:t>
      </w:r>
      <w:r w:rsidR="00F12E13">
        <w:rPr>
          <w:rFonts w:cs="Simplified Arabic"/>
          <w:color w:val="000000" w:themeColor="text1"/>
        </w:rPr>
        <w:t>,</w:t>
      </w:r>
      <w:r w:rsidR="00792E0C">
        <w:rPr>
          <w:rFonts w:cs="Simplified Arabic"/>
          <w:color w:val="000000" w:themeColor="text1"/>
        </w:rPr>
        <w:t>292</w:t>
      </w:r>
      <w:r w:rsidR="00842CB9">
        <w:rPr>
          <w:rFonts w:cs="Simplified Arabic"/>
          <w:color w:val="000000" w:themeColor="text1"/>
        </w:rPr>
        <w:t xml:space="preserve"> </w:t>
      </w:r>
      <w:r w:rsidR="00842CB9">
        <w:rPr>
          <w:color w:val="000000" w:themeColor="text1"/>
          <w:lang w:eastAsia="en-US"/>
        </w:rPr>
        <w:t>reflecting an increase of</w:t>
      </w:r>
      <w:r w:rsidR="00842CB9" w:rsidRPr="007D58D2">
        <w:rPr>
          <w:color w:val="000000" w:themeColor="text1"/>
          <w:lang w:eastAsia="en-US"/>
        </w:rPr>
        <w:t xml:space="preserve"> </w:t>
      </w:r>
      <w:r w:rsidR="00842CB9">
        <w:rPr>
          <w:color w:val="000000" w:themeColor="text1"/>
          <w:lang w:eastAsia="en-US"/>
        </w:rPr>
        <w:t xml:space="preserve"> 0.</w:t>
      </w:r>
      <w:r w:rsidR="00792E0C">
        <w:rPr>
          <w:color w:val="000000" w:themeColor="text1"/>
          <w:lang w:eastAsia="en-US"/>
        </w:rPr>
        <w:t>5</w:t>
      </w:r>
      <w:r w:rsidR="00842CB9">
        <w:rPr>
          <w:color w:val="000000" w:themeColor="text1"/>
          <w:lang w:eastAsia="en-US"/>
        </w:rPr>
        <w:t xml:space="preserve">% </w:t>
      </w:r>
      <w:r w:rsidR="008724A6">
        <w:rPr>
          <w:color w:val="000000" w:themeColor="text1"/>
          <w:lang w:eastAsia="en-US"/>
        </w:rPr>
        <w:t>compared to</w:t>
      </w:r>
      <w:r w:rsidR="00842CB9" w:rsidRPr="007D58D2">
        <w:rPr>
          <w:color w:val="000000" w:themeColor="text1"/>
          <w:lang w:eastAsia="en-US"/>
        </w:rPr>
        <w:t xml:space="preserve"> </w:t>
      </w:r>
      <w:r w:rsidR="00842CB9">
        <w:rPr>
          <w:color w:val="000000" w:themeColor="text1"/>
          <w:lang w:eastAsia="en-US"/>
        </w:rPr>
        <w:t>2017</w:t>
      </w:r>
      <w:r w:rsidR="00842CB9" w:rsidRPr="007D58D2">
        <w:rPr>
          <w:color w:val="000000" w:themeColor="text1"/>
          <w:lang w:eastAsia="en-US"/>
        </w:rPr>
        <w:t xml:space="preserve">. </w:t>
      </w:r>
    </w:p>
    <w:p w:rsidR="00842CB9" w:rsidRDefault="00842CB9" w:rsidP="00842CB9">
      <w:pPr>
        <w:bidi w:val="0"/>
        <w:jc w:val="lowKashida"/>
        <w:rPr>
          <w:color w:val="000000" w:themeColor="text1"/>
          <w:lang w:eastAsia="en-US"/>
        </w:rPr>
      </w:pPr>
    </w:p>
    <w:p w:rsidR="00842CB9" w:rsidRPr="00A01641" w:rsidRDefault="00842CB9" w:rsidP="00842CB9">
      <w:pPr>
        <w:bidi w:val="0"/>
        <w:jc w:val="lowKashida"/>
        <w:rPr>
          <w:color w:val="000000" w:themeColor="text1"/>
          <w:sz w:val="20"/>
          <w:szCs w:val="20"/>
        </w:rPr>
      </w:pPr>
    </w:p>
    <w:p w:rsidR="00842CB9" w:rsidRDefault="00842CB9" w:rsidP="00842CB9">
      <w:pPr>
        <w:bidi w:val="0"/>
        <w:jc w:val="lowKashida"/>
      </w:pPr>
    </w:p>
    <w:p w:rsidR="00551EAF" w:rsidRPr="00F94A8A" w:rsidRDefault="00551EAF" w:rsidP="00DF0D68">
      <w:pPr>
        <w:bidi w:val="0"/>
        <w:jc w:val="center"/>
        <w:rPr>
          <w:rFonts w:ascii="Arial" w:hAnsi="Arial" w:cs="Arial"/>
          <w:b/>
          <w:bCs/>
          <w:snapToGrid w:val="0"/>
          <w:sz w:val="22"/>
          <w:szCs w:val="22"/>
        </w:rPr>
      </w:pPr>
      <w:r w:rsidRPr="00F94A8A">
        <w:rPr>
          <w:rFonts w:ascii="Arial" w:hAnsi="Arial" w:cs="Arial"/>
          <w:b/>
          <w:bCs/>
          <w:sz w:val="22"/>
          <w:szCs w:val="22"/>
        </w:rPr>
        <w:lastRenderedPageBreak/>
        <w:t xml:space="preserve">GDP, GNI and GNDI per capita </w:t>
      </w:r>
      <w:r w:rsidRPr="00F94A8A">
        <w:rPr>
          <w:rFonts w:ascii="Arial" w:hAnsi="Arial" w:cs="Arial"/>
          <w:b/>
          <w:bCs/>
          <w:snapToGrid w:val="0"/>
          <w:sz w:val="22"/>
          <w:szCs w:val="22"/>
        </w:rPr>
        <w:t>in Palestine</w:t>
      </w:r>
      <w:r w:rsidR="00F530F9" w:rsidRPr="00F94A8A">
        <w:rPr>
          <w:rFonts w:ascii="Arial" w:hAnsi="Arial" w:cs="Arial"/>
          <w:b/>
          <w:bCs/>
          <w:snapToGrid w:val="0"/>
          <w:sz w:val="22"/>
          <w:szCs w:val="22"/>
        </w:rPr>
        <w:t>*</w:t>
      </w:r>
      <w:r w:rsidRPr="00F94A8A">
        <w:rPr>
          <w:rFonts w:ascii="Arial" w:hAnsi="Arial" w:cs="Arial"/>
          <w:b/>
          <w:bCs/>
          <w:snapToGrid w:val="0"/>
          <w:sz w:val="22"/>
          <w:szCs w:val="22"/>
        </w:rPr>
        <w:t xml:space="preserve"> for</w:t>
      </w:r>
      <w:r w:rsidR="006D7796">
        <w:rPr>
          <w:rFonts w:ascii="Arial" w:hAnsi="Arial" w:cs="Arial"/>
          <w:b/>
          <w:bCs/>
          <w:snapToGrid w:val="0"/>
          <w:sz w:val="22"/>
          <w:szCs w:val="22"/>
        </w:rPr>
        <w:t xml:space="preserve"> the years</w:t>
      </w:r>
      <w:r w:rsidRPr="00F94A8A">
        <w:rPr>
          <w:rFonts w:ascii="Arial" w:hAnsi="Arial" w:cs="Arial"/>
          <w:b/>
          <w:bCs/>
          <w:snapToGrid w:val="0"/>
          <w:sz w:val="22"/>
          <w:szCs w:val="22"/>
        </w:rPr>
        <w:t xml:space="preserve"> </w:t>
      </w:r>
      <w:r w:rsidR="00DF0D68">
        <w:rPr>
          <w:rFonts w:ascii="Arial" w:hAnsi="Arial" w:cs="Arial"/>
          <w:b/>
          <w:bCs/>
          <w:snapToGrid w:val="0"/>
          <w:sz w:val="22"/>
          <w:szCs w:val="22"/>
        </w:rPr>
        <w:t>2004-2018</w:t>
      </w:r>
      <w:r w:rsidRPr="00F94A8A">
        <w:rPr>
          <w:rFonts w:ascii="Arial" w:hAnsi="Arial" w:cs="Arial"/>
          <w:b/>
          <w:bCs/>
          <w:snapToGrid w:val="0"/>
          <w:sz w:val="22"/>
          <w:szCs w:val="22"/>
        </w:rPr>
        <w:t xml:space="preserve"> at constant prices (USD): </w:t>
      </w:r>
      <w:r w:rsidR="004A7677">
        <w:rPr>
          <w:rFonts w:ascii="Arial" w:hAnsi="Arial" w:cs="Arial" w:hint="cs"/>
          <w:b/>
          <w:bCs/>
          <w:snapToGrid w:val="0"/>
          <w:sz w:val="22"/>
          <w:szCs w:val="22"/>
          <w:rtl/>
        </w:rPr>
        <w:t>2015</w:t>
      </w:r>
      <w:r w:rsidRPr="00F94A8A">
        <w:rPr>
          <w:rFonts w:ascii="Arial" w:hAnsi="Arial" w:cs="Arial"/>
          <w:b/>
          <w:bCs/>
          <w:snapToGrid w:val="0"/>
          <w:sz w:val="22"/>
          <w:szCs w:val="22"/>
        </w:rPr>
        <w:t xml:space="preserve"> is the </w:t>
      </w:r>
      <w:r w:rsidR="005F083F">
        <w:rPr>
          <w:rFonts w:ascii="Arial" w:hAnsi="Arial" w:cs="Arial"/>
          <w:b/>
          <w:bCs/>
          <w:snapToGrid w:val="0"/>
          <w:sz w:val="22"/>
          <w:szCs w:val="22"/>
        </w:rPr>
        <w:t>b</w:t>
      </w:r>
      <w:r w:rsidRPr="00F94A8A">
        <w:rPr>
          <w:rFonts w:ascii="Arial" w:hAnsi="Arial" w:cs="Arial"/>
          <w:b/>
          <w:bCs/>
          <w:snapToGrid w:val="0"/>
          <w:sz w:val="22"/>
          <w:szCs w:val="22"/>
        </w:rPr>
        <w:t>ase year</w:t>
      </w:r>
    </w:p>
    <w:tbl>
      <w:tblPr>
        <w:tblStyle w:val="TableGrid"/>
        <w:tblW w:w="0" w:type="auto"/>
        <w:jc w:val="center"/>
        <w:tblInd w:w="108" w:type="dxa"/>
        <w:tblLook w:val="04A0"/>
      </w:tblPr>
      <w:tblGrid>
        <w:gridCol w:w="9179"/>
      </w:tblGrid>
      <w:tr w:rsidR="00250455" w:rsidTr="00EF0DE5">
        <w:trPr>
          <w:jc w:val="center"/>
        </w:trPr>
        <w:tc>
          <w:tcPr>
            <w:tcW w:w="9178" w:type="dxa"/>
            <w:vAlign w:val="center"/>
          </w:tcPr>
          <w:p w:rsidR="00250455" w:rsidRDefault="00250455" w:rsidP="00EA6CD6">
            <w:pPr>
              <w:bidi w:val="0"/>
              <w:rPr>
                <w:b/>
                <w:bCs/>
              </w:rPr>
            </w:pPr>
            <w:r w:rsidRPr="00250455">
              <w:rPr>
                <w:b/>
                <w:bCs/>
                <w:noProof/>
                <w:lang w:eastAsia="en-US"/>
              </w:rPr>
              <w:drawing>
                <wp:inline distT="0" distB="0" distL="0" distR="0">
                  <wp:extent cx="5759355" cy="2190466"/>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F5139" w:rsidRPr="005F5139" w:rsidRDefault="005F5139" w:rsidP="00E234D4">
      <w:pPr>
        <w:bidi w:val="0"/>
        <w:rPr>
          <w:sz w:val="18"/>
          <w:szCs w:val="18"/>
        </w:rPr>
      </w:pPr>
      <w:r w:rsidRPr="005F5139">
        <w:rPr>
          <w:sz w:val="18"/>
          <w:szCs w:val="18"/>
        </w:rPr>
        <w:t>*The data excludes those parts of Jerusalem</w:t>
      </w:r>
      <w:r w:rsidR="00E76CE5">
        <w:rPr>
          <w:sz w:val="18"/>
          <w:szCs w:val="18"/>
        </w:rPr>
        <w:t xml:space="preserve"> governorate</w:t>
      </w:r>
      <w:r w:rsidRPr="005F5139">
        <w:rPr>
          <w:sz w:val="18"/>
          <w:szCs w:val="18"/>
        </w:rPr>
        <w:t xml:space="preserve"> which were annexed by </w:t>
      </w:r>
      <w:r w:rsidR="0076649D" w:rsidRPr="005F5139">
        <w:rPr>
          <w:sz w:val="18"/>
          <w:szCs w:val="18"/>
        </w:rPr>
        <w:t>Israel</w:t>
      </w:r>
      <w:r w:rsidR="00385BB5">
        <w:rPr>
          <w:sz w:val="18"/>
          <w:szCs w:val="18"/>
        </w:rPr>
        <w:t xml:space="preserve"> occupation </w:t>
      </w:r>
      <w:r w:rsidRPr="005F5139">
        <w:rPr>
          <w:sz w:val="18"/>
          <w:szCs w:val="18"/>
        </w:rPr>
        <w:t>in 1967.</w:t>
      </w:r>
    </w:p>
    <w:p w:rsidR="003A7559" w:rsidRDefault="003A7559" w:rsidP="003A7559">
      <w:pPr>
        <w:bidi w:val="0"/>
        <w:jc w:val="lowKashida"/>
        <w:rPr>
          <w:b/>
          <w:bCs/>
          <w:color w:val="000000" w:themeColor="text1"/>
        </w:rPr>
      </w:pPr>
    </w:p>
    <w:p w:rsidR="00461B79" w:rsidRPr="000D7A5F" w:rsidRDefault="00CF3B3A" w:rsidP="00471C8A">
      <w:pPr>
        <w:bidi w:val="0"/>
        <w:jc w:val="lowKashida"/>
        <w:rPr>
          <w:color w:val="000000" w:themeColor="text1"/>
        </w:rPr>
      </w:pPr>
      <w:r>
        <w:rPr>
          <w:b/>
          <w:bCs/>
          <w:color w:val="000000" w:themeColor="text1"/>
        </w:rPr>
        <w:t>2</w:t>
      </w:r>
      <w:r w:rsidR="00EA4E88" w:rsidRPr="000D7A5F">
        <w:rPr>
          <w:b/>
          <w:bCs/>
          <w:color w:val="000000" w:themeColor="text1"/>
        </w:rPr>
        <w:t>.1.7</w:t>
      </w:r>
      <w:r w:rsidR="00693A3F">
        <w:rPr>
          <w:b/>
          <w:bCs/>
          <w:color w:val="000000" w:themeColor="text1"/>
        </w:rPr>
        <w:t>.</w:t>
      </w:r>
      <w:r w:rsidR="00EA4E88" w:rsidRPr="000D7A5F">
        <w:rPr>
          <w:b/>
          <w:bCs/>
          <w:color w:val="000000" w:themeColor="text1"/>
        </w:rPr>
        <w:t xml:space="preserve"> </w:t>
      </w:r>
      <w:r w:rsidR="00461B79" w:rsidRPr="000D7A5F">
        <w:rPr>
          <w:b/>
          <w:bCs/>
          <w:color w:val="000000" w:themeColor="text1"/>
        </w:rPr>
        <w:t>GDP by Expenditure</w:t>
      </w:r>
      <w:r w:rsidR="00D27235" w:rsidRPr="000D7A5F">
        <w:rPr>
          <w:b/>
          <w:bCs/>
          <w:color w:val="000000" w:themeColor="text1"/>
        </w:rPr>
        <w:t xml:space="preserve"> </w:t>
      </w:r>
      <w:r w:rsidR="0036046A" w:rsidRPr="0036046A">
        <w:rPr>
          <w:b/>
          <w:bCs/>
          <w:color w:val="000000" w:themeColor="text1"/>
        </w:rPr>
        <w:t>at constant prices</w:t>
      </w:r>
    </w:p>
    <w:p w:rsidR="00461B79" w:rsidRPr="000D7A5F" w:rsidRDefault="00461B79" w:rsidP="00D909F1">
      <w:pPr>
        <w:bidi w:val="0"/>
        <w:jc w:val="lowKashida"/>
        <w:rPr>
          <w:color w:val="000000" w:themeColor="text1"/>
        </w:rPr>
      </w:pPr>
      <w:r w:rsidRPr="000D7A5F">
        <w:rPr>
          <w:color w:val="000000" w:themeColor="text1"/>
        </w:rPr>
        <w:t xml:space="preserve">The main findings </w:t>
      </w:r>
      <w:r w:rsidR="00710B54" w:rsidRPr="000D7A5F">
        <w:rPr>
          <w:color w:val="000000" w:themeColor="text1"/>
        </w:rPr>
        <w:t xml:space="preserve">for </w:t>
      </w:r>
      <w:r w:rsidR="00CB029A">
        <w:rPr>
          <w:rFonts w:hint="cs"/>
          <w:color w:val="000000" w:themeColor="text1"/>
          <w:rtl/>
        </w:rPr>
        <w:t>2018</w:t>
      </w:r>
      <w:r w:rsidR="00710B54" w:rsidRPr="000D7A5F">
        <w:rPr>
          <w:color w:val="000000" w:themeColor="text1"/>
        </w:rPr>
        <w:t xml:space="preserve"> </w:t>
      </w:r>
      <w:r w:rsidRPr="000D7A5F">
        <w:rPr>
          <w:color w:val="000000" w:themeColor="text1"/>
        </w:rPr>
        <w:t xml:space="preserve">indicate that final consumption in </w:t>
      </w:r>
      <w:r w:rsidR="00A56942" w:rsidRPr="000D7A5F">
        <w:rPr>
          <w:color w:val="000000" w:themeColor="text1"/>
        </w:rPr>
        <w:t>Palestine at</w:t>
      </w:r>
      <w:r w:rsidRPr="000D7A5F">
        <w:rPr>
          <w:color w:val="000000" w:themeColor="text1"/>
        </w:rPr>
        <w:t xml:space="preserve"> constant prices </w:t>
      </w:r>
      <w:r w:rsidR="00412A29" w:rsidRPr="008B5446">
        <w:rPr>
          <w:color w:val="000000" w:themeColor="text1"/>
        </w:rPr>
        <w:t>was</w:t>
      </w:r>
      <w:r w:rsidRPr="008B5446">
        <w:rPr>
          <w:color w:val="000000" w:themeColor="text1"/>
        </w:rPr>
        <w:t xml:space="preserve"> US</w:t>
      </w:r>
      <w:r w:rsidR="00A648B6" w:rsidRPr="008B5446">
        <w:rPr>
          <w:color w:val="000000" w:themeColor="text1"/>
        </w:rPr>
        <w:t>D</w:t>
      </w:r>
      <w:r w:rsidR="00452237" w:rsidRPr="008B5446">
        <w:rPr>
          <w:color w:val="000000" w:themeColor="text1"/>
        </w:rPr>
        <w:t xml:space="preserve"> </w:t>
      </w:r>
      <w:r w:rsidR="00CB029A">
        <w:rPr>
          <w:color w:val="000000" w:themeColor="text1"/>
        </w:rPr>
        <w:t>16</w:t>
      </w:r>
      <w:r w:rsidR="00F12E13">
        <w:rPr>
          <w:color w:val="000000" w:themeColor="text1"/>
        </w:rPr>
        <w:t>,</w:t>
      </w:r>
      <w:r w:rsidR="00D909F1">
        <w:rPr>
          <w:color w:val="000000" w:themeColor="text1"/>
        </w:rPr>
        <w:t>889</w:t>
      </w:r>
      <w:r w:rsidR="006D7796">
        <w:rPr>
          <w:color w:val="000000" w:themeColor="text1"/>
        </w:rPr>
        <w:t xml:space="preserve"> </w:t>
      </w:r>
      <w:r w:rsidRPr="008B5446">
        <w:rPr>
          <w:color w:val="000000" w:themeColor="text1"/>
        </w:rPr>
        <w:t>million</w:t>
      </w:r>
      <w:r w:rsidR="00412A29" w:rsidRPr="008B5446">
        <w:rPr>
          <w:color w:val="000000" w:themeColor="text1"/>
        </w:rPr>
        <w:t>,</w:t>
      </w:r>
      <w:r w:rsidR="00710B54" w:rsidRPr="008B5446">
        <w:rPr>
          <w:color w:val="000000" w:themeColor="text1"/>
        </w:rPr>
        <w:t xml:space="preserve"> </w:t>
      </w:r>
      <w:r w:rsidR="00713722">
        <w:rPr>
          <w:color w:val="000000" w:themeColor="text1"/>
        </w:rPr>
        <w:t>showing</w:t>
      </w:r>
      <w:r w:rsidR="00C358D3">
        <w:rPr>
          <w:color w:val="000000" w:themeColor="text1"/>
        </w:rPr>
        <w:t xml:space="preserve"> </w:t>
      </w:r>
      <w:r w:rsidR="00B75425">
        <w:rPr>
          <w:color w:val="000000" w:themeColor="text1"/>
        </w:rPr>
        <w:t>a</w:t>
      </w:r>
      <w:r w:rsidR="00223E0A">
        <w:rPr>
          <w:color w:val="000000" w:themeColor="text1"/>
        </w:rPr>
        <w:t>n increase</w:t>
      </w:r>
      <w:r w:rsidR="00B75425">
        <w:rPr>
          <w:color w:val="000000" w:themeColor="text1"/>
        </w:rPr>
        <w:t xml:space="preserve"> </w:t>
      </w:r>
      <w:r w:rsidR="00412A29" w:rsidRPr="008B5446">
        <w:rPr>
          <w:color w:val="000000" w:themeColor="text1"/>
        </w:rPr>
        <w:t>of</w:t>
      </w:r>
      <w:r w:rsidRPr="008B5446">
        <w:rPr>
          <w:color w:val="000000" w:themeColor="text1"/>
        </w:rPr>
        <w:t xml:space="preserve"> </w:t>
      </w:r>
      <w:r w:rsidR="00CB029A">
        <w:rPr>
          <w:color w:val="000000" w:themeColor="text1"/>
        </w:rPr>
        <w:t>2.</w:t>
      </w:r>
      <w:r w:rsidR="00D909F1">
        <w:rPr>
          <w:color w:val="000000" w:themeColor="text1"/>
        </w:rPr>
        <w:t>3</w:t>
      </w:r>
      <w:r w:rsidRPr="008B5446">
        <w:rPr>
          <w:color w:val="000000" w:themeColor="text1"/>
        </w:rPr>
        <w:t xml:space="preserve">% compared </w:t>
      </w:r>
      <w:r w:rsidR="007C4363" w:rsidRPr="008B5446">
        <w:rPr>
          <w:color w:val="000000" w:themeColor="text1"/>
        </w:rPr>
        <w:t>with</w:t>
      </w:r>
      <w:r w:rsidRPr="008B5446">
        <w:rPr>
          <w:color w:val="000000" w:themeColor="text1"/>
        </w:rPr>
        <w:t xml:space="preserve"> </w:t>
      </w:r>
      <w:r w:rsidR="00412A29" w:rsidRPr="008B5446">
        <w:rPr>
          <w:color w:val="000000" w:themeColor="text1"/>
        </w:rPr>
        <w:t xml:space="preserve">the </w:t>
      </w:r>
      <w:r w:rsidRPr="008B5446">
        <w:rPr>
          <w:color w:val="000000" w:themeColor="text1"/>
        </w:rPr>
        <w:t xml:space="preserve">previous year. </w:t>
      </w:r>
      <w:r w:rsidR="00412A29" w:rsidRPr="000D7A5F">
        <w:rPr>
          <w:color w:val="000000" w:themeColor="text1"/>
        </w:rPr>
        <w:t>H</w:t>
      </w:r>
      <w:r w:rsidRPr="000D7A5F">
        <w:rPr>
          <w:color w:val="000000" w:themeColor="text1"/>
        </w:rPr>
        <w:t>ousehold final consumption</w:t>
      </w:r>
      <w:r w:rsidR="0013282A" w:rsidRPr="000D7A5F">
        <w:rPr>
          <w:color w:val="000000" w:themeColor="text1"/>
        </w:rPr>
        <w:t xml:space="preserve"> was USD</w:t>
      </w:r>
      <w:r w:rsidR="003948A0" w:rsidRPr="000D7A5F">
        <w:rPr>
          <w:color w:val="000000" w:themeColor="text1"/>
        </w:rPr>
        <w:t xml:space="preserve"> </w:t>
      </w:r>
      <w:r w:rsidR="00D909F1">
        <w:rPr>
          <w:color w:val="000000" w:themeColor="text1"/>
        </w:rPr>
        <w:t>13</w:t>
      </w:r>
      <w:r w:rsidR="00F12E13">
        <w:rPr>
          <w:color w:val="000000" w:themeColor="text1"/>
        </w:rPr>
        <w:t>,</w:t>
      </w:r>
      <w:r w:rsidR="00D909F1">
        <w:rPr>
          <w:color w:val="000000" w:themeColor="text1"/>
        </w:rPr>
        <w:t>088</w:t>
      </w:r>
      <w:r w:rsidR="00F12E13">
        <w:rPr>
          <w:color w:val="000000" w:themeColor="text1"/>
        </w:rPr>
        <w:t xml:space="preserve"> </w:t>
      </w:r>
      <w:r w:rsidR="0013282A" w:rsidRPr="000D7A5F">
        <w:rPr>
          <w:color w:val="000000" w:themeColor="text1"/>
        </w:rPr>
        <w:t>million, which</w:t>
      </w:r>
      <w:r w:rsidRPr="000D7A5F">
        <w:rPr>
          <w:color w:val="000000" w:themeColor="text1"/>
        </w:rPr>
        <w:t xml:space="preserve"> contributed </w:t>
      </w:r>
      <w:r w:rsidR="00CB029A">
        <w:rPr>
          <w:color w:val="000000" w:themeColor="text1"/>
        </w:rPr>
        <w:t>77</w:t>
      </w:r>
      <w:r w:rsidR="00D97F05">
        <w:rPr>
          <w:color w:val="000000" w:themeColor="text1"/>
        </w:rPr>
        <w:t>.</w:t>
      </w:r>
      <w:r w:rsidR="00D909F1">
        <w:rPr>
          <w:color w:val="000000" w:themeColor="text1"/>
        </w:rPr>
        <w:t>5</w:t>
      </w:r>
      <w:r w:rsidRPr="000D7A5F">
        <w:rPr>
          <w:color w:val="000000" w:themeColor="text1"/>
        </w:rPr>
        <w:t xml:space="preserve">% </w:t>
      </w:r>
      <w:r w:rsidR="006304FC">
        <w:rPr>
          <w:color w:val="000000" w:themeColor="text1"/>
        </w:rPr>
        <w:t xml:space="preserve">of gross final consumption </w:t>
      </w:r>
      <w:r w:rsidRPr="000D7A5F">
        <w:rPr>
          <w:color w:val="000000" w:themeColor="text1"/>
        </w:rPr>
        <w:t xml:space="preserve">during </w:t>
      </w:r>
      <w:r w:rsidR="00CB029A">
        <w:rPr>
          <w:color w:val="000000" w:themeColor="text1"/>
        </w:rPr>
        <w:t>2018</w:t>
      </w:r>
      <w:r w:rsidR="00971331">
        <w:rPr>
          <w:color w:val="000000" w:themeColor="text1"/>
        </w:rPr>
        <w:t xml:space="preserve"> and</w:t>
      </w:r>
      <w:r w:rsidR="006304FC">
        <w:rPr>
          <w:color w:val="000000" w:themeColor="text1"/>
        </w:rPr>
        <w:t xml:space="preserve"> reflect</w:t>
      </w:r>
      <w:r w:rsidR="00F806DD">
        <w:rPr>
          <w:color w:val="000000" w:themeColor="text1"/>
        </w:rPr>
        <w:t>ed</w:t>
      </w:r>
      <w:r w:rsidR="006304FC">
        <w:rPr>
          <w:color w:val="000000" w:themeColor="text1"/>
        </w:rPr>
        <w:t xml:space="preserve"> </w:t>
      </w:r>
      <w:r w:rsidR="00223E0A">
        <w:rPr>
          <w:color w:val="000000" w:themeColor="text1"/>
        </w:rPr>
        <w:t xml:space="preserve">an increase </w:t>
      </w:r>
      <w:r w:rsidR="00412A29" w:rsidRPr="000D7A5F">
        <w:rPr>
          <w:color w:val="000000" w:themeColor="text1"/>
        </w:rPr>
        <w:t>of</w:t>
      </w:r>
      <w:r w:rsidRPr="000D7A5F">
        <w:rPr>
          <w:color w:val="000000" w:themeColor="text1"/>
        </w:rPr>
        <w:t xml:space="preserve"> </w:t>
      </w:r>
      <w:r w:rsidR="007951EA">
        <w:rPr>
          <w:color w:val="000000" w:themeColor="text1"/>
        </w:rPr>
        <w:t>1.</w:t>
      </w:r>
      <w:r w:rsidR="00D909F1">
        <w:rPr>
          <w:color w:val="000000" w:themeColor="text1"/>
        </w:rPr>
        <w:t>3</w:t>
      </w:r>
      <w:r w:rsidRPr="000D7A5F">
        <w:rPr>
          <w:color w:val="000000" w:themeColor="text1"/>
        </w:rPr>
        <w:t xml:space="preserve">% compared </w:t>
      </w:r>
      <w:r w:rsidR="00713722">
        <w:rPr>
          <w:color w:val="000000" w:themeColor="text1"/>
        </w:rPr>
        <w:t>to</w:t>
      </w:r>
      <w:r w:rsidR="00713722" w:rsidRPr="000D7A5F">
        <w:rPr>
          <w:color w:val="000000" w:themeColor="text1"/>
        </w:rPr>
        <w:t xml:space="preserve"> </w:t>
      </w:r>
      <w:r w:rsidR="00CB029A">
        <w:rPr>
          <w:color w:val="000000" w:themeColor="text1"/>
        </w:rPr>
        <w:t>2017</w:t>
      </w:r>
      <w:r w:rsidRPr="000D7A5F">
        <w:rPr>
          <w:color w:val="000000" w:themeColor="text1"/>
        </w:rPr>
        <w:t>.</w:t>
      </w:r>
    </w:p>
    <w:p w:rsidR="00971331" w:rsidRPr="00471C8A" w:rsidRDefault="00971331" w:rsidP="00E05D16">
      <w:pPr>
        <w:bidi w:val="0"/>
        <w:jc w:val="lowKashida"/>
        <w:rPr>
          <w:color w:val="000000" w:themeColor="text1"/>
          <w:sz w:val="16"/>
          <w:szCs w:val="16"/>
        </w:rPr>
      </w:pPr>
    </w:p>
    <w:p w:rsidR="00461B79" w:rsidRPr="00AE1091" w:rsidRDefault="00957F97" w:rsidP="001A3A69">
      <w:pPr>
        <w:bidi w:val="0"/>
        <w:jc w:val="lowKashida"/>
        <w:rPr>
          <w:color w:val="000000" w:themeColor="text1"/>
        </w:rPr>
      </w:pPr>
      <w:r w:rsidRPr="000D7A5F">
        <w:rPr>
          <w:color w:val="000000" w:themeColor="text1"/>
        </w:rPr>
        <w:t xml:space="preserve">Gross </w:t>
      </w:r>
      <w:r w:rsidR="00412A29" w:rsidRPr="000D7A5F">
        <w:rPr>
          <w:color w:val="000000" w:themeColor="text1"/>
        </w:rPr>
        <w:t>c</w:t>
      </w:r>
      <w:r w:rsidRPr="000D7A5F">
        <w:rPr>
          <w:color w:val="000000" w:themeColor="text1"/>
        </w:rPr>
        <w:t xml:space="preserve">apital </w:t>
      </w:r>
      <w:r w:rsidR="00412A29" w:rsidRPr="000D7A5F">
        <w:rPr>
          <w:color w:val="000000" w:themeColor="text1"/>
        </w:rPr>
        <w:t>f</w:t>
      </w:r>
      <w:r w:rsidRPr="000D7A5F">
        <w:rPr>
          <w:color w:val="000000" w:themeColor="text1"/>
        </w:rPr>
        <w:t xml:space="preserve">ormation </w:t>
      </w:r>
      <w:r w:rsidR="0007115A">
        <w:rPr>
          <w:color w:val="000000" w:themeColor="text1"/>
        </w:rPr>
        <w:t>increased</w:t>
      </w:r>
      <w:r w:rsidR="00461B79" w:rsidRPr="000D7A5F">
        <w:rPr>
          <w:color w:val="000000" w:themeColor="text1"/>
        </w:rPr>
        <w:t xml:space="preserve"> by </w:t>
      </w:r>
      <w:r w:rsidR="00223E0A">
        <w:rPr>
          <w:color w:val="000000" w:themeColor="text1"/>
        </w:rPr>
        <w:t>2.</w:t>
      </w:r>
      <w:r w:rsidR="00CB029A">
        <w:rPr>
          <w:color w:val="000000" w:themeColor="text1"/>
        </w:rPr>
        <w:t>2</w:t>
      </w:r>
      <w:r w:rsidR="00461B79" w:rsidRPr="000D7A5F">
        <w:rPr>
          <w:color w:val="000000" w:themeColor="text1"/>
        </w:rPr>
        <w:t xml:space="preserve">% in </w:t>
      </w:r>
      <w:r w:rsidR="00CB029A">
        <w:rPr>
          <w:color w:val="000000" w:themeColor="text1"/>
        </w:rPr>
        <w:t>2018</w:t>
      </w:r>
      <w:r w:rsidR="00461B79" w:rsidRPr="000D7A5F">
        <w:rPr>
          <w:color w:val="000000" w:themeColor="text1"/>
        </w:rPr>
        <w:t xml:space="preserve"> compared </w:t>
      </w:r>
      <w:r w:rsidR="00713722">
        <w:rPr>
          <w:color w:val="000000" w:themeColor="text1"/>
        </w:rPr>
        <w:t>to</w:t>
      </w:r>
      <w:r w:rsidR="00713722" w:rsidRPr="000D7A5F">
        <w:rPr>
          <w:color w:val="000000" w:themeColor="text1"/>
        </w:rPr>
        <w:t xml:space="preserve"> </w:t>
      </w:r>
      <w:r w:rsidR="00CB029A">
        <w:rPr>
          <w:color w:val="000000" w:themeColor="text1"/>
        </w:rPr>
        <w:t>2017</w:t>
      </w:r>
      <w:r w:rsidR="00461B79" w:rsidRPr="000D7A5F">
        <w:rPr>
          <w:color w:val="000000" w:themeColor="text1"/>
        </w:rPr>
        <w:t xml:space="preserve"> </w:t>
      </w:r>
      <w:r w:rsidR="00713722">
        <w:rPr>
          <w:color w:val="000000" w:themeColor="text1"/>
        </w:rPr>
        <w:t>and reached</w:t>
      </w:r>
      <w:r w:rsidR="00FF73C4">
        <w:rPr>
          <w:color w:val="000000" w:themeColor="text1"/>
        </w:rPr>
        <w:t xml:space="preserve"> </w:t>
      </w:r>
      <w:r w:rsidR="00A648B6" w:rsidRPr="00AE1091">
        <w:rPr>
          <w:color w:val="000000" w:themeColor="text1"/>
        </w:rPr>
        <w:t>USD</w:t>
      </w:r>
      <w:r w:rsidR="00EE6272">
        <w:rPr>
          <w:color w:val="000000" w:themeColor="text1"/>
        </w:rPr>
        <w:t xml:space="preserve"> </w:t>
      </w:r>
      <w:r w:rsidR="00CE2506" w:rsidRPr="00AE1091">
        <w:rPr>
          <w:color w:val="000000" w:themeColor="text1"/>
        </w:rPr>
        <w:t xml:space="preserve"> </w:t>
      </w:r>
      <w:r w:rsidR="00CB029A">
        <w:rPr>
          <w:rFonts w:cs="Simplified Arabic"/>
          <w:color w:val="000000" w:themeColor="text1"/>
        </w:rPr>
        <w:t>4</w:t>
      </w:r>
      <w:r w:rsidR="00F12E13">
        <w:rPr>
          <w:rFonts w:cs="Simplified Arabic"/>
          <w:color w:val="000000" w:themeColor="text1"/>
        </w:rPr>
        <w:t>,</w:t>
      </w:r>
      <w:r w:rsidR="00CB029A">
        <w:rPr>
          <w:rFonts w:cs="Simplified Arabic"/>
          <w:color w:val="000000" w:themeColor="text1"/>
        </w:rPr>
        <w:t>260</w:t>
      </w:r>
      <w:r w:rsidR="007951EA">
        <w:rPr>
          <w:rFonts w:cs="Simplified Arabic"/>
          <w:color w:val="000000" w:themeColor="text1"/>
        </w:rPr>
        <w:t xml:space="preserve"> </w:t>
      </w:r>
      <w:r w:rsidR="00461B79" w:rsidRPr="00AE1091">
        <w:rPr>
          <w:color w:val="000000" w:themeColor="text1"/>
        </w:rPr>
        <w:t xml:space="preserve">million. The trade balance recorded a deficit </w:t>
      </w:r>
      <w:r w:rsidR="00412A29" w:rsidRPr="00AE1091">
        <w:rPr>
          <w:color w:val="000000" w:themeColor="text1"/>
        </w:rPr>
        <w:t>of</w:t>
      </w:r>
      <w:r w:rsidR="00A648B6" w:rsidRPr="00AE1091">
        <w:rPr>
          <w:color w:val="000000" w:themeColor="text1"/>
        </w:rPr>
        <w:t xml:space="preserve"> USD</w:t>
      </w:r>
      <w:r w:rsidR="00461B79" w:rsidRPr="00AE1091">
        <w:rPr>
          <w:color w:val="000000" w:themeColor="text1"/>
        </w:rPr>
        <w:t xml:space="preserve"> </w:t>
      </w:r>
      <w:r w:rsidR="00AE1091" w:rsidRPr="00AE1091">
        <w:rPr>
          <w:color w:val="000000" w:themeColor="text1"/>
          <w:rtl/>
        </w:rPr>
        <w:t>5</w:t>
      </w:r>
      <w:r w:rsidR="00AE1091" w:rsidRPr="00AE1091">
        <w:rPr>
          <w:rFonts w:hint="cs"/>
          <w:color w:val="000000" w:themeColor="text1"/>
          <w:rtl/>
        </w:rPr>
        <w:t>,</w:t>
      </w:r>
      <w:r w:rsidR="00CB029A">
        <w:rPr>
          <w:color w:val="000000" w:themeColor="text1"/>
        </w:rPr>
        <w:t>678</w:t>
      </w:r>
      <w:r w:rsidR="00AE1091">
        <w:rPr>
          <w:color w:val="000000" w:themeColor="text1"/>
        </w:rPr>
        <w:t xml:space="preserve"> </w:t>
      </w:r>
      <w:r w:rsidR="00461B79" w:rsidRPr="00AE1091">
        <w:rPr>
          <w:color w:val="000000" w:themeColor="text1"/>
        </w:rPr>
        <w:t>million</w:t>
      </w:r>
      <w:r w:rsidR="00713722" w:rsidRPr="00AE1091">
        <w:rPr>
          <w:color w:val="000000" w:themeColor="text1"/>
        </w:rPr>
        <w:t xml:space="preserve"> during this period</w:t>
      </w:r>
      <w:r w:rsidR="00412A29" w:rsidRPr="00AE1091">
        <w:rPr>
          <w:color w:val="000000" w:themeColor="text1"/>
        </w:rPr>
        <w:t xml:space="preserve">, </w:t>
      </w:r>
      <w:r w:rsidR="00713722" w:rsidRPr="00AE1091">
        <w:rPr>
          <w:color w:val="000000" w:themeColor="text1"/>
        </w:rPr>
        <w:t>marking</w:t>
      </w:r>
      <w:r w:rsidR="00461B79" w:rsidRPr="00AE1091">
        <w:rPr>
          <w:color w:val="000000" w:themeColor="text1"/>
        </w:rPr>
        <w:t xml:space="preserve"> </w:t>
      </w:r>
      <w:r w:rsidR="00412A29" w:rsidRPr="00AE1091">
        <w:rPr>
          <w:color w:val="000000" w:themeColor="text1"/>
        </w:rPr>
        <w:t>a</w:t>
      </w:r>
      <w:r w:rsidR="00D97F05">
        <w:rPr>
          <w:color w:val="000000" w:themeColor="text1"/>
        </w:rPr>
        <w:t xml:space="preserve">n increase </w:t>
      </w:r>
      <w:r w:rsidR="00412A29" w:rsidRPr="00AE1091">
        <w:rPr>
          <w:color w:val="000000" w:themeColor="text1"/>
        </w:rPr>
        <w:t>of</w:t>
      </w:r>
      <w:r w:rsidR="00461B79" w:rsidRPr="00AE1091">
        <w:rPr>
          <w:color w:val="000000" w:themeColor="text1"/>
        </w:rPr>
        <w:t xml:space="preserve"> </w:t>
      </w:r>
      <w:r w:rsidR="00CB029A">
        <w:rPr>
          <w:color w:val="000000" w:themeColor="text1"/>
        </w:rPr>
        <w:t>5.4</w:t>
      </w:r>
      <w:r w:rsidR="00461B79" w:rsidRPr="00AE1091">
        <w:rPr>
          <w:color w:val="000000" w:themeColor="text1"/>
        </w:rPr>
        <w:t xml:space="preserve">% compared </w:t>
      </w:r>
      <w:r w:rsidR="00713722" w:rsidRPr="00AE1091">
        <w:rPr>
          <w:color w:val="000000" w:themeColor="text1"/>
        </w:rPr>
        <w:t xml:space="preserve">to </w:t>
      </w:r>
      <w:r w:rsidR="001A3A69">
        <w:rPr>
          <w:color w:val="000000" w:themeColor="text1"/>
        </w:rPr>
        <w:t>2017</w:t>
      </w:r>
      <w:r w:rsidR="00461B79" w:rsidRPr="00AE1091">
        <w:rPr>
          <w:color w:val="000000" w:themeColor="text1"/>
        </w:rPr>
        <w:t>.</w:t>
      </w:r>
    </w:p>
    <w:p w:rsidR="004B71EA" w:rsidRPr="007F12D3" w:rsidRDefault="0065640F" w:rsidP="00D32EEB">
      <w:pPr>
        <w:tabs>
          <w:tab w:val="left" w:pos="2579"/>
        </w:tabs>
        <w:bidi w:val="0"/>
      </w:pPr>
      <w:r>
        <w:tab/>
      </w:r>
    </w:p>
    <w:p w:rsidR="00461B79" w:rsidRPr="006D7796" w:rsidRDefault="00461B79" w:rsidP="006D7796">
      <w:pPr>
        <w:pStyle w:val="ListParagraph"/>
        <w:numPr>
          <w:ilvl w:val="1"/>
          <w:numId w:val="28"/>
        </w:numPr>
        <w:bidi w:val="0"/>
        <w:ind w:right="420"/>
        <w:jc w:val="lowKashida"/>
        <w:rPr>
          <w:b/>
          <w:bCs/>
        </w:rPr>
      </w:pPr>
      <w:r w:rsidRPr="006D7796">
        <w:rPr>
          <w:b/>
          <w:bCs/>
        </w:rPr>
        <w:t>Institutional National Accounts</w:t>
      </w:r>
      <w:r w:rsidR="00D27235" w:rsidRPr="006D7796">
        <w:rPr>
          <w:b/>
          <w:bCs/>
        </w:rPr>
        <w:t xml:space="preserve"> </w:t>
      </w:r>
    </w:p>
    <w:p w:rsidR="00461B79" w:rsidRDefault="00461B79" w:rsidP="00C50F22">
      <w:pPr>
        <w:bidi w:val="0"/>
        <w:jc w:val="lowKashida"/>
        <w:rPr>
          <w:lang w:eastAsia="en-US"/>
        </w:rPr>
      </w:pPr>
      <w:r>
        <w:rPr>
          <w:rFonts w:eastAsia="Arial Unicode MS"/>
        </w:rPr>
        <w:t>The</w:t>
      </w:r>
      <w:r>
        <w:rPr>
          <w:lang w:eastAsia="en-US"/>
        </w:rPr>
        <w:t xml:space="preserve"> findings of </w:t>
      </w:r>
      <w:r w:rsidR="00C50F22">
        <w:rPr>
          <w:lang w:eastAsia="en-US"/>
        </w:rPr>
        <w:t>2018</w:t>
      </w:r>
      <w:r w:rsidR="007F6CF1">
        <w:rPr>
          <w:lang w:eastAsia="en-US"/>
        </w:rPr>
        <w:t xml:space="preserve"> </w:t>
      </w:r>
      <w:r>
        <w:rPr>
          <w:lang w:eastAsia="en-US"/>
        </w:rPr>
        <w:t>at c</w:t>
      </w:r>
      <w:r w:rsidR="00926B67">
        <w:rPr>
          <w:lang w:eastAsia="en-US"/>
        </w:rPr>
        <w:t>urrent</w:t>
      </w:r>
      <w:r>
        <w:rPr>
          <w:lang w:eastAsia="en-US"/>
        </w:rPr>
        <w:t xml:space="preserve"> prices show that</w:t>
      </w:r>
      <w:r w:rsidR="00532390" w:rsidRPr="00532390">
        <w:rPr>
          <w:snapToGrid w:val="0"/>
        </w:rPr>
        <w:t xml:space="preserve"> </w:t>
      </w:r>
      <w:r w:rsidR="00D14ACB">
        <w:rPr>
          <w:lang w:eastAsia="en-US"/>
        </w:rPr>
        <w:t xml:space="preserve">the </w:t>
      </w:r>
      <w:r w:rsidR="004B681D">
        <w:rPr>
          <w:lang w:eastAsia="en-US"/>
        </w:rPr>
        <w:t>non-financial</w:t>
      </w:r>
      <w:r w:rsidR="00532390" w:rsidRPr="00532390">
        <w:rPr>
          <w:lang w:eastAsia="en-US"/>
        </w:rPr>
        <w:t xml:space="preserve"> </w:t>
      </w:r>
      <w:r w:rsidR="00D14ACB">
        <w:rPr>
          <w:lang w:eastAsia="en-US"/>
        </w:rPr>
        <w:t xml:space="preserve">enterprises </w:t>
      </w:r>
      <w:r w:rsidR="00532390">
        <w:rPr>
          <w:snapToGrid w:val="0"/>
        </w:rPr>
        <w:t>sector</w:t>
      </w:r>
      <w:r>
        <w:rPr>
          <w:lang w:eastAsia="en-US"/>
        </w:rPr>
        <w:t xml:space="preserve"> provided the highest contribution to GDP</w:t>
      </w:r>
      <w:r w:rsidR="009C1B21">
        <w:rPr>
          <w:lang w:eastAsia="en-US"/>
        </w:rPr>
        <w:t>,</w:t>
      </w:r>
      <w:r>
        <w:rPr>
          <w:lang w:eastAsia="en-US"/>
        </w:rPr>
        <w:t xml:space="preserve"> followed by</w:t>
      </w:r>
      <w:r w:rsidR="004B6320">
        <w:rPr>
          <w:lang w:eastAsia="en-US"/>
        </w:rPr>
        <w:t xml:space="preserve"> </w:t>
      </w:r>
      <w:r w:rsidR="009C1B21">
        <w:rPr>
          <w:lang w:eastAsia="en-US"/>
        </w:rPr>
        <w:t xml:space="preserve">the </w:t>
      </w:r>
      <w:r w:rsidR="004B681D">
        <w:rPr>
          <w:lang w:eastAsia="en-US"/>
        </w:rPr>
        <w:t>household</w:t>
      </w:r>
      <w:r w:rsidR="00355F9F">
        <w:rPr>
          <w:lang w:eastAsia="en-US"/>
        </w:rPr>
        <w:t xml:space="preserve"> sector</w:t>
      </w:r>
      <w:r>
        <w:rPr>
          <w:lang w:eastAsia="en-US"/>
        </w:rPr>
        <w:t xml:space="preserve">. </w:t>
      </w:r>
      <w:r w:rsidR="00355F9F">
        <w:rPr>
          <w:lang w:eastAsia="en-US"/>
        </w:rPr>
        <w:t>The NPISH sector</w:t>
      </w:r>
      <w:r w:rsidR="00452A40">
        <w:rPr>
          <w:lang w:eastAsia="en-US"/>
        </w:rPr>
        <w:t xml:space="preserve">’s contribution at current prices was the lowest </w:t>
      </w:r>
      <w:r>
        <w:rPr>
          <w:lang w:eastAsia="en-US"/>
        </w:rPr>
        <w:t xml:space="preserve">in </w:t>
      </w:r>
      <w:r w:rsidR="00C50F22">
        <w:rPr>
          <w:lang w:eastAsia="en-US"/>
        </w:rPr>
        <w:t>2018</w:t>
      </w:r>
      <w:r>
        <w:rPr>
          <w:lang w:eastAsia="en-US"/>
        </w:rPr>
        <w:t xml:space="preserve">, as </w:t>
      </w:r>
      <w:r w:rsidR="00452A40">
        <w:rPr>
          <w:lang w:eastAsia="en-US"/>
        </w:rPr>
        <w:t xml:space="preserve">illustrated in </w:t>
      </w:r>
      <w:r>
        <w:rPr>
          <w:lang w:eastAsia="en-US"/>
        </w:rPr>
        <w:t xml:space="preserve">the </w:t>
      </w:r>
      <w:r w:rsidR="00A2168D">
        <w:rPr>
          <w:lang w:eastAsia="en-US"/>
        </w:rPr>
        <w:t>graph</w:t>
      </w:r>
      <w:r w:rsidR="009C1B21">
        <w:rPr>
          <w:lang w:eastAsia="en-US"/>
        </w:rPr>
        <w:t xml:space="preserve"> </w:t>
      </w:r>
      <w:r w:rsidR="00F21219">
        <w:rPr>
          <w:lang w:eastAsia="en-US"/>
        </w:rPr>
        <w:t>below</w:t>
      </w:r>
      <w:r w:rsidR="00021E4F">
        <w:rPr>
          <w:lang w:eastAsia="en-US"/>
        </w:rPr>
        <w:t>:</w:t>
      </w:r>
      <w:r w:rsidR="00811D78">
        <w:rPr>
          <w:lang w:eastAsia="en-US"/>
        </w:rPr>
        <w:t xml:space="preserve"> </w:t>
      </w:r>
    </w:p>
    <w:p w:rsidR="009401B3" w:rsidRDefault="009401B3" w:rsidP="009401B3">
      <w:pPr>
        <w:bidi w:val="0"/>
        <w:jc w:val="lowKashida"/>
        <w:rPr>
          <w:lang w:eastAsia="en-US"/>
        </w:rPr>
      </w:pPr>
    </w:p>
    <w:p w:rsidR="00324C0D" w:rsidRDefault="00324C0D" w:rsidP="00F12E13">
      <w:pPr>
        <w:bidi w:val="0"/>
        <w:jc w:val="center"/>
        <w:rPr>
          <w:rFonts w:ascii="Arial" w:hAnsi="Arial" w:cs="Arial"/>
          <w:b/>
          <w:bCs/>
          <w:sz w:val="20"/>
          <w:szCs w:val="20"/>
        </w:rPr>
      </w:pPr>
      <w:r>
        <w:rPr>
          <w:rFonts w:ascii="Arial" w:hAnsi="Arial" w:cs="Arial"/>
          <w:b/>
          <w:bCs/>
          <w:sz w:val="22"/>
          <w:szCs w:val="22"/>
        </w:rPr>
        <w:t xml:space="preserve">Percentage </w:t>
      </w:r>
      <w:r w:rsidR="007C4363">
        <w:rPr>
          <w:rFonts w:ascii="Arial" w:hAnsi="Arial" w:cs="Arial"/>
          <w:b/>
          <w:bCs/>
          <w:sz w:val="22"/>
          <w:szCs w:val="22"/>
        </w:rPr>
        <w:t>c</w:t>
      </w:r>
      <w:r>
        <w:rPr>
          <w:rFonts w:ascii="Arial" w:hAnsi="Arial" w:cs="Arial"/>
          <w:b/>
          <w:bCs/>
          <w:sz w:val="22"/>
          <w:szCs w:val="22"/>
        </w:rPr>
        <w:t xml:space="preserve">ontribution </w:t>
      </w:r>
      <w:r w:rsidR="007C4363">
        <w:rPr>
          <w:rFonts w:ascii="Arial" w:hAnsi="Arial" w:cs="Arial"/>
          <w:b/>
          <w:bCs/>
          <w:sz w:val="22"/>
          <w:szCs w:val="22"/>
        </w:rPr>
        <w:t xml:space="preserve">of </w:t>
      </w:r>
      <w:r>
        <w:rPr>
          <w:rFonts w:ascii="Arial" w:hAnsi="Arial" w:cs="Arial"/>
          <w:b/>
          <w:bCs/>
          <w:sz w:val="22"/>
          <w:szCs w:val="22"/>
        </w:rPr>
        <w:t xml:space="preserve">institutional sectors </w:t>
      </w:r>
      <w:r w:rsidR="007A1F86">
        <w:rPr>
          <w:rFonts w:ascii="Arial" w:hAnsi="Arial" w:cs="Arial"/>
          <w:b/>
          <w:bCs/>
          <w:sz w:val="22"/>
          <w:szCs w:val="22"/>
        </w:rPr>
        <w:t>to</w:t>
      </w:r>
      <w:r>
        <w:rPr>
          <w:rFonts w:ascii="Arial" w:hAnsi="Arial" w:cs="Arial"/>
          <w:b/>
          <w:bCs/>
          <w:sz w:val="22"/>
          <w:szCs w:val="22"/>
        </w:rPr>
        <w:t xml:space="preserve"> </w:t>
      </w:r>
      <w:r w:rsidR="00E755CD">
        <w:rPr>
          <w:rFonts w:ascii="Arial" w:hAnsi="Arial" w:cs="Arial"/>
          <w:b/>
          <w:bCs/>
          <w:sz w:val="22"/>
          <w:szCs w:val="22"/>
        </w:rPr>
        <w:t>Gross value added</w:t>
      </w:r>
      <w:r>
        <w:rPr>
          <w:rFonts w:ascii="Arial" w:hAnsi="Arial" w:cs="Arial"/>
          <w:b/>
          <w:bCs/>
          <w:sz w:val="22"/>
          <w:szCs w:val="22"/>
        </w:rPr>
        <w:t xml:space="preserve"> for </w:t>
      </w:r>
      <w:r w:rsidR="00F12E13">
        <w:rPr>
          <w:rFonts w:ascii="Arial" w:hAnsi="Arial" w:cs="Arial"/>
          <w:b/>
          <w:bCs/>
          <w:sz w:val="22"/>
          <w:szCs w:val="22"/>
        </w:rPr>
        <w:t>2018</w:t>
      </w:r>
      <w:r>
        <w:rPr>
          <w:rFonts w:ascii="Arial" w:hAnsi="Arial" w:cs="Arial"/>
          <w:b/>
          <w:bCs/>
          <w:sz w:val="22"/>
          <w:szCs w:val="22"/>
        </w:rPr>
        <w:t xml:space="preserve"> in Palestine* </w:t>
      </w:r>
      <w:r w:rsidR="00E755CD">
        <w:rPr>
          <w:rFonts w:ascii="Arial" w:hAnsi="Arial" w:cs="Arial"/>
          <w:b/>
          <w:bCs/>
          <w:sz w:val="22"/>
          <w:szCs w:val="22"/>
        </w:rPr>
        <w:t xml:space="preserve"> </w:t>
      </w:r>
      <w:r>
        <w:rPr>
          <w:rFonts w:ascii="Arial" w:hAnsi="Arial" w:cs="Arial"/>
          <w:b/>
          <w:bCs/>
          <w:sz w:val="22"/>
          <w:szCs w:val="22"/>
        </w:rPr>
        <w:t>at current prices</w:t>
      </w:r>
    </w:p>
    <w:tbl>
      <w:tblPr>
        <w:tblStyle w:val="TableGrid"/>
        <w:tblW w:w="0" w:type="auto"/>
        <w:jc w:val="center"/>
        <w:tblInd w:w="268" w:type="dxa"/>
        <w:tblLook w:val="04A0"/>
      </w:tblPr>
      <w:tblGrid>
        <w:gridCol w:w="8329"/>
      </w:tblGrid>
      <w:tr w:rsidR="00D32EEB" w:rsidTr="000C2A54">
        <w:trPr>
          <w:trHeight w:val="3883"/>
          <w:jc w:val="center"/>
        </w:trPr>
        <w:tc>
          <w:tcPr>
            <w:tcW w:w="8329" w:type="dxa"/>
            <w:vAlign w:val="center"/>
          </w:tcPr>
          <w:p w:rsidR="00D32EEB" w:rsidRDefault="00D32EEB" w:rsidP="00D32EEB">
            <w:pPr>
              <w:bidi w:val="0"/>
              <w:jc w:val="center"/>
              <w:rPr>
                <w:rFonts w:ascii="Arial" w:hAnsi="Arial" w:cs="Arial"/>
                <w:b/>
                <w:bCs/>
                <w:sz w:val="20"/>
                <w:szCs w:val="20"/>
              </w:rPr>
            </w:pPr>
            <w:r w:rsidRPr="00D32EEB">
              <w:rPr>
                <w:rFonts w:ascii="Arial" w:hAnsi="Arial" w:cs="Arial"/>
                <w:b/>
                <w:bCs/>
                <w:noProof/>
                <w:sz w:val="20"/>
                <w:szCs w:val="20"/>
                <w:lang w:eastAsia="en-US"/>
              </w:rPr>
              <w:drawing>
                <wp:inline distT="0" distB="0" distL="0" distR="0">
                  <wp:extent cx="3951587" cy="2364260"/>
                  <wp:effectExtent l="19050" t="0" r="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3275E" w:rsidRDefault="0053275E" w:rsidP="0053275E">
      <w:pPr>
        <w:bidi w:val="0"/>
        <w:jc w:val="center"/>
        <w:rPr>
          <w:rFonts w:ascii="Arial" w:hAnsi="Arial" w:cs="Arial"/>
          <w:b/>
          <w:bCs/>
          <w:sz w:val="20"/>
          <w:szCs w:val="20"/>
        </w:rPr>
      </w:pPr>
    </w:p>
    <w:p w:rsidR="0053275E" w:rsidRPr="00705139" w:rsidRDefault="0053275E" w:rsidP="0053275E">
      <w:pPr>
        <w:bidi w:val="0"/>
        <w:jc w:val="center"/>
        <w:rPr>
          <w:rFonts w:ascii="Arial" w:hAnsi="Arial" w:cs="Arial"/>
          <w:b/>
          <w:bCs/>
          <w:sz w:val="20"/>
          <w:szCs w:val="20"/>
        </w:rPr>
      </w:pPr>
    </w:p>
    <w:p w:rsidR="006305EE" w:rsidRDefault="006305EE" w:rsidP="001B6EC7">
      <w:pPr>
        <w:bidi w:val="0"/>
        <w:jc w:val="center"/>
        <w:rPr>
          <w:rFonts w:ascii="Arial" w:hAnsi="Arial" w:cs="Arial"/>
          <w:b/>
          <w:bCs/>
          <w:sz w:val="16"/>
          <w:szCs w:val="16"/>
        </w:rPr>
      </w:pPr>
    </w:p>
    <w:p w:rsidR="001B6EC7" w:rsidRPr="001B6EC7" w:rsidRDefault="001B6EC7" w:rsidP="006305EE">
      <w:pPr>
        <w:bidi w:val="0"/>
        <w:jc w:val="center"/>
        <w:rPr>
          <w:rFonts w:ascii="Arial" w:hAnsi="Arial" w:cs="Arial"/>
          <w:b/>
          <w:bCs/>
          <w:sz w:val="16"/>
          <w:szCs w:val="16"/>
        </w:rPr>
      </w:pPr>
    </w:p>
    <w:p w:rsidR="00C75E7D" w:rsidRDefault="00C75E7D" w:rsidP="00C75E7D">
      <w:pPr>
        <w:bidi w:val="0"/>
        <w:jc w:val="center"/>
        <w:rPr>
          <w:rFonts w:ascii="Arial" w:hAnsi="Arial" w:cs="Arial"/>
          <w:b/>
          <w:bCs/>
          <w:sz w:val="22"/>
          <w:szCs w:val="22"/>
        </w:rPr>
      </w:pPr>
    </w:p>
    <w:p w:rsidR="00AC1A77" w:rsidRPr="00AA7F05" w:rsidRDefault="00AC1A77" w:rsidP="00AC1A77">
      <w:pPr>
        <w:bidi w:val="0"/>
        <w:jc w:val="center"/>
        <w:rPr>
          <w:rtl/>
          <w:lang w:val="en-GB"/>
        </w:rPr>
      </w:pPr>
      <w:r w:rsidRPr="00AA7F05">
        <w:lastRenderedPageBreak/>
        <w:t xml:space="preserve">Chapter </w:t>
      </w:r>
      <w:r>
        <w:t>Three</w:t>
      </w:r>
    </w:p>
    <w:p w:rsidR="00AC1A77" w:rsidRPr="003057FF" w:rsidRDefault="00AC1A77" w:rsidP="00AC1A77">
      <w:pPr>
        <w:bidi w:val="0"/>
        <w:jc w:val="center"/>
        <w:rPr>
          <w:szCs w:val="28"/>
        </w:rPr>
      </w:pPr>
    </w:p>
    <w:p w:rsidR="00AC1A77" w:rsidRPr="00AA7F05" w:rsidRDefault="00AC1A77" w:rsidP="00AC1A77">
      <w:pPr>
        <w:pStyle w:val="Heading2"/>
      </w:pPr>
      <w:r w:rsidRPr="00AA7F05">
        <w:t xml:space="preserve">Methodology </w:t>
      </w:r>
    </w:p>
    <w:p w:rsidR="00AC1A77" w:rsidRPr="003057FF" w:rsidRDefault="00AC1A77" w:rsidP="00AC1A77">
      <w:pPr>
        <w:pStyle w:val="Header"/>
        <w:tabs>
          <w:tab w:val="clear" w:pos="4153"/>
          <w:tab w:val="clear" w:pos="8306"/>
        </w:tabs>
        <w:bidi w:val="0"/>
        <w:rPr>
          <w:rFonts w:cs="Times New Roman"/>
          <w:noProof w:val="0"/>
          <w:sz w:val="24"/>
          <w:szCs w:val="24"/>
          <w:lang w:eastAsia="ar-SA"/>
        </w:rPr>
      </w:pPr>
    </w:p>
    <w:p w:rsidR="00AC1A77" w:rsidRPr="00EB6343" w:rsidRDefault="00AC1A77" w:rsidP="00AC1A77">
      <w:pPr>
        <w:bidi w:val="0"/>
        <w:jc w:val="lowKashida"/>
        <w:rPr>
          <w:color w:val="000000" w:themeColor="text1"/>
          <w:lang w:eastAsia="en-US"/>
        </w:rPr>
      </w:pPr>
      <w:r w:rsidRPr="00AA7F05">
        <w:rPr>
          <w:lang w:eastAsia="en-US"/>
        </w:rPr>
        <w:t xml:space="preserve">This chapter </w:t>
      </w:r>
      <w:r w:rsidRPr="00EB6343">
        <w:rPr>
          <w:color w:val="000000" w:themeColor="text1"/>
          <w:lang w:eastAsia="en-US"/>
        </w:rPr>
        <w:t xml:space="preserve">presents the methodologies adopted for compiling National Accounts at current and constant prices for </w:t>
      </w:r>
      <w:r>
        <w:rPr>
          <w:color w:val="000000" w:themeColor="text1"/>
          <w:lang w:eastAsia="en-US"/>
        </w:rPr>
        <w:t>2004-2018</w:t>
      </w:r>
      <w:r w:rsidRPr="00EB6343">
        <w:rPr>
          <w:color w:val="000000" w:themeColor="text1"/>
          <w:lang w:eastAsia="en-US"/>
        </w:rPr>
        <w:t xml:space="preserve">, based on the available price deflators.  </w:t>
      </w:r>
      <w:r>
        <w:rPr>
          <w:color w:val="000000" w:themeColor="text1"/>
          <w:lang w:eastAsia="en-US"/>
        </w:rPr>
        <w:t>It also explains</w:t>
      </w:r>
      <w:r w:rsidRPr="00EB6343">
        <w:rPr>
          <w:color w:val="000000" w:themeColor="text1"/>
          <w:lang w:eastAsia="en-US"/>
        </w:rPr>
        <w:t xml:space="preserve"> the methodology </w:t>
      </w:r>
      <w:r>
        <w:rPr>
          <w:color w:val="000000" w:themeColor="text1"/>
          <w:lang w:eastAsia="en-US"/>
        </w:rPr>
        <w:t xml:space="preserve">used </w:t>
      </w:r>
      <w:r w:rsidRPr="00EB6343">
        <w:rPr>
          <w:color w:val="000000" w:themeColor="text1"/>
          <w:lang w:eastAsia="en-US"/>
        </w:rPr>
        <w:t>for compiling institutional national accounts at current and constant prices, and data coverage of various resources.</w:t>
      </w:r>
    </w:p>
    <w:p w:rsidR="00AC1A77" w:rsidRPr="00EB6343" w:rsidRDefault="00AC1A77" w:rsidP="00AC1A77">
      <w:pPr>
        <w:bidi w:val="0"/>
        <w:rPr>
          <w:b/>
          <w:bCs/>
          <w:color w:val="000000" w:themeColor="text1"/>
        </w:rPr>
      </w:pPr>
    </w:p>
    <w:p w:rsidR="00AC1A77" w:rsidRPr="00EB6343" w:rsidRDefault="00AC1A77" w:rsidP="00AC1A77">
      <w:pPr>
        <w:bidi w:val="0"/>
        <w:rPr>
          <w:b/>
          <w:bCs/>
          <w:color w:val="000000" w:themeColor="text1"/>
        </w:rPr>
      </w:pPr>
      <w:r>
        <w:rPr>
          <w:b/>
          <w:bCs/>
          <w:color w:val="000000" w:themeColor="text1"/>
        </w:rPr>
        <w:t>3</w:t>
      </w:r>
      <w:r w:rsidRPr="00EB6343">
        <w:rPr>
          <w:b/>
          <w:bCs/>
          <w:color w:val="000000" w:themeColor="text1"/>
        </w:rPr>
        <w:t>.1 Basic National Accounts Methodology</w:t>
      </w:r>
    </w:p>
    <w:p w:rsidR="00AC1A77" w:rsidRPr="000C2A54" w:rsidRDefault="00AC1A77" w:rsidP="00AC1A77">
      <w:pPr>
        <w:bidi w:val="0"/>
        <w:rPr>
          <w:color w:val="000000" w:themeColor="text1"/>
          <w:sz w:val="16"/>
          <w:szCs w:val="16"/>
          <w:lang w:eastAsia="en-US"/>
        </w:rPr>
      </w:pPr>
    </w:p>
    <w:p w:rsidR="00AC1A77" w:rsidRPr="00EB6343" w:rsidRDefault="00AC1A77" w:rsidP="00AC1A77">
      <w:pPr>
        <w:bidi w:val="0"/>
        <w:jc w:val="lowKashida"/>
        <w:rPr>
          <w:b/>
          <w:bCs/>
          <w:color w:val="000000" w:themeColor="text1"/>
          <w:lang w:val="en-GB"/>
        </w:rPr>
      </w:pPr>
      <w:r>
        <w:rPr>
          <w:b/>
          <w:bCs/>
          <w:color w:val="000000" w:themeColor="text1"/>
          <w:lang w:val="en-GB"/>
        </w:rPr>
        <w:t>3</w:t>
      </w:r>
      <w:r w:rsidRPr="00EB6343">
        <w:rPr>
          <w:b/>
          <w:bCs/>
          <w:color w:val="000000" w:themeColor="text1"/>
          <w:lang w:val="en-GB"/>
        </w:rPr>
        <w:t xml:space="preserve">.1.1 National </w:t>
      </w:r>
      <w:r w:rsidRPr="00EB6343">
        <w:rPr>
          <w:b/>
          <w:bCs/>
          <w:color w:val="000000" w:themeColor="text1"/>
        </w:rPr>
        <w:t>Accounts</w:t>
      </w:r>
      <w:r w:rsidRPr="00EB6343">
        <w:rPr>
          <w:b/>
          <w:bCs/>
          <w:color w:val="000000" w:themeColor="text1"/>
          <w:lang w:val="en-GB"/>
        </w:rPr>
        <w:t xml:space="preserve"> at Current Prices</w:t>
      </w:r>
    </w:p>
    <w:p w:rsidR="00AC1A77" w:rsidRPr="00EB6343" w:rsidRDefault="00AC1A77" w:rsidP="00AC1A77">
      <w:pPr>
        <w:bidi w:val="0"/>
        <w:rPr>
          <w:color w:val="000000" w:themeColor="text1"/>
          <w:sz w:val="16"/>
          <w:szCs w:val="16"/>
          <w:lang w:eastAsia="en-US"/>
        </w:rPr>
      </w:pPr>
    </w:p>
    <w:p w:rsidR="00AC1A77" w:rsidRPr="00EB6343" w:rsidRDefault="00AC1A77" w:rsidP="00AC1A77">
      <w:pPr>
        <w:bidi w:val="0"/>
        <w:rPr>
          <w:b/>
          <w:bCs/>
          <w:color w:val="000000" w:themeColor="text1"/>
        </w:rPr>
      </w:pPr>
      <w:r>
        <w:rPr>
          <w:b/>
          <w:bCs/>
          <w:color w:val="000000" w:themeColor="text1"/>
        </w:rPr>
        <w:t xml:space="preserve">First: </w:t>
      </w:r>
      <w:r w:rsidRPr="00EB6343">
        <w:rPr>
          <w:b/>
          <w:bCs/>
          <w:color w:val="000000" w:themeColor="text1"/>
        </w:rPr>
        <w:t xml:space="preserve">The main basis for the compilation process </w:t>
      </w:r>
    </w:p>
    <w:p w:rsidR="00AC1A77" w:rsidRPr="00AA7F05" w:rsidRDefault="00AC1A77" w:rsidP="00AC1A77">
      <w:pPr>
        <w:bidi w:val="0"/>
        <w:jc w:val="lowKashida"/>
      </w:pPr>
      <w:r>
        <w:rPr>
          <w:color w:val="000000" w:themeColor="text1"/>
        </w:rPr>
        <w:t>This report was prepared in</w:t>
      </w:r>
      <w:r w:rsidRPr="00EB6343">
        <w:rPr>
          <w:color w:val="000000" w:themeColor="text1"/>
        </w:rPr>
        <w:t xml:space="preserve"> several stages </w:t>
      </w:r>
      <w:r>
        <w:rPr>
          <w:color w:val="000000" w:themeColor="text1"/>
        </w:rPr>
        <w:t>to ensure</w:t>
      </w:r>
      <w:r w:rsidRPr="00EB6343">
        <w:rPr>
          <w:color w:val="000000" w:themeColor="text1"/>
        </w:rPr>
        <w:t xml:space="preserve"> thorough coverage of National Accounts for the year</w:t>
      </w:r>
      <w:r>
        <w:rPr>
          <w:color w:val="000000" w:themeColor="text1"/>
        </w:rPr>
        <w:t>s</w:t>
      </w:r>
      <w:r w:rsidRPr="00EB6343">
        <w:rPr>
          <w:color w:val="000000" w:themeColor="text1"/>
        </w:rPr>
        <w:t xml:space="preserve"> </w:t>
      </w:r>
      <w:r>
        <w:rPr>
          <w:color w:val="000000" w:themeColor="text1"/>
        </w:rPr>
        <w:t>2004-2018</w:t>
      </w:r>
      <w:r w:rsidRPr="00EB6343">
        <w:rPr>
          <w:color w:val="000000" w:themeColor="text1"/>
        </w:rPr>
        <w:t xml:space="preserve"> </w:t>
      </w:r>
      <w:r>
        <w:rPr>
          <w:color w:val="000000" w:themeColor="text1"/>
        </w:rPr>
        <w:t xml:space="preserve">based on </w:t>
      </w:r>
      <w:r w:rsidRPr="00AA7F05">
        <w:t>the following considerations:</w:t>
      </w:r>
    </w:p>
    <w:p w:rsidR="00AC1A77" w:rsidRPr="00AA7F05" w:rsidRDefault="00AC1A77" w:rsidP="00AC1A77">
      <w:pPr>
        <w:numPr>
          <w:ilvl w:val="0"/>
          <w:numId w:val="6"/>
        </w:numPr>
        <w:tabs>
          <w:tab w:val="clear" w:pos="720"/>
          <w:tab w:val="num" w:pos="540"/>
        </w:tabs>
        <w:bidi w:val="0"/>
        <w:ind w:left="540" w:right="0"/>
        <w:jc w:val="lowKashida"/>
      </w:pPr>
      <w:r w:rsidRPr="00AA7F05">
        <w:t>The most recent administrative records available, primarily from the government and UNRWA.</w:t>
      </w:r>
    </w:p>
    <w:p w:rsidR="00AC1A77" w:rsidRPr="00AA7F05" w:rsidRDefault="00AC1A77" w:rsidP="00AC1A77">
      <w:pPr>
        <w:numPr>
          <w:ilvl w:val="0"/>
          <w:numId w:val="6"/>
        </w:numPr>
        <w:tabs>
          <w:tab w:val="clear" w:pos="720"/>
          <w:tab w:val="num" w:pos="540"/>
        </w:tabs>
        <w:bidi w:val="0"/>
        <w:ind w:left="540" w:right="0"/>
        <w:jc w:val="lowKashida"/>
      </w:pPr>
      <w:r>
        <w:t xml:space="preserve">Unifying </w:t>
      </w:r>
      <w:r w:rsidRPr="00AA7F05">
        <w:t>methodologies of the various data sources based on the most recent</w:t>
      </w:r>
      <w:r>
        <w:t xml:space="preserve"> ones</w:t>
      </w:r>
      <w:r w:rsidRPr="00AA7F05">
        <w:t xml:space="preserve">, such as the methodology for estimating gross capital formation (building and non-buildings) and adapting the ISIC-4 for all national accounts data since 1994. The use of the most </w:t>
      </w:r>
      <w:r>
        <w:t xml:space="preserve">         </w:t>
      </w:r>
      <w:r w:rsidRPr="00AA7F05">
        <w:t>up</w:t>
      </w:r>
      <w:r>
        <w:t>-</w:t>
      </w:r>
      <w:r w:rsidRPr="00AA7F05">
        <w:t>to</w:t>
      </w:r>
      <w:r>
        <w:t>-</w:t>
      </w:r>
      <w:r w:rsidRPr="00AA7F05">
        <w:t xml:space="preserve">date methodology contributes to improving data quality and comparability over </w:t>
      </w:r>
      <w:r>
        <w:t xml:space="preserve">the </w:t>
      </w:r>
      <w:r w:rsidRPr="00AA7F05">
        <w:t>years.</w:t>
      </w:r>
    </w:p>
    <w:p w:rsidR="00AC1A77" w:rsidRPr="00AA7F05" w:rsidRDefault="00AC1A77" w:rsidP="00AC1A77">
      <w:pPr>
        <w:numPr>
          <w:ilvl w:val="0"/>
          <w:numId w:val="6"/>
        </w:numPr>
        <w:tabs>
          <w:tab w:val="clear" w:pos="720"/>
          <w:tab w:val="num" w:pos="540"/>
        </w:tabs>
        <w:bidi w:val="0"/>
        <w:ind w:left="540" w:right="0"/>
        <w:jc w:val="lowKashida"/>
      </w:pPr>
      <w:r w:rsidRPr="00AA7F05">
        <w:t xml:space="preserve">Improving the consistency of data by checking the data framework, such as the </w:t>
      </w:r>
      <w:r>
        <w:t xml:space="preserve">     inputs-</w:t>
      </w:r>
      <w:r w:rsidRPr="00AA7F05">
        <w:t>outputs</w:t>
      </w:r>
      <w:r>
        <w:t xml:space="preserve"> ratio</w:t>
      </w:r>
      <w:r w:rsidRPr="00AA7F05">
        <w:t>, value added per employee, the logic of growth rates for both output</w:t>
      </w:r>
      <w:r>
        <w:t>s</w:t>
      </w:r>
      <w:r w:rsidRPr="00AA7F05">
        <w:t xml:space="preserve"> and value added, and the regional distribution of data.</w:t>
      </w:r>
    </w:p>
    <w:p w:rsidR="00AC1A77" w:rsidRPr="00AA7F05" w:rsidRDefault="00AC1A77" w:rsidP="00AC1A77">
      <w:pPr>
        <w:numPr>
          <w:ilvl w:val="0"/>
          <w:numId w:val="6"/>
        </w:numPr>
        <w:tabs>
          <w:tab w:val="clear" w:pos="720"/>
          <w:tab w:val="num" w:pos="540"/>
        </w:tabs>
        <w:bidi w:val="0"/>
        <w:ind w:left="540" w:right="0"/>
        <w:jc w:val="lowKashida"/>
      </w:pPr>
      <w:r w:rsidRPr="00AA7F05">
        <w:t>Balancing GDP from both production and expenditure at current prices. This determines errors and omissions to verify distortion between production and expenditure due to the use of different sources for both.</w:t>
      </w:r>
    </w:p>
    <w:p w:rsidR="00AC1A77" w:rsidRPr="00AA7F05" w:rsidRDefault="00AC1A77" w:rsidP="00AC1A77">
      <w:pPr>
        <w:numPr>
          <w:ilvl w:val="0"/>
          <w:numId w:val="6"/>
        </w:numPr>
        <w:tabs>
          <w:tab w:val="clear" w:pos="720"/>
          <w:tab w:val="num" w:pos="540"/>
        </w:tabs>
        <w:bidi w:val="0"/>
        <w:ind w:left="540" w:right="0"/>
        <w:jc w:val="lowKashida"/>
      </w:pPr>
      <w:r w:rsidRPr="00AA7F05">
        <w:t>Unifying data coverage for various economic activities to minimize over-coverage due to the improvement of statistical coverage over time.</w:t>
      </w:r>
    </w:p>
    <w:p w:rsidR="00AC1A77" w:rsidRPr="003057FF" w:rsidRDefault="00AC1A77" w:rsidP="00AC1A77">
      <w:pPr>
        <w:jc w:val="both"/>
        <w:rPr>
          <w:rtl/>
        </w:rPr>
      </w:pPr>
    </w:p>
    <w:p w:rsidR="00AC1A77" w:rsidRPr="00AA7F05" w:rsidRDefault="00AC1A77" w:rsidP="00AC1A77">
      <w:pPr>
        <w:bidi w:val="0"/>
        <w:ind w:right="720"/>
        <w:rPr>
          <w:b/>
          <w:bCs/>
        </w:rPr>
      </w:pPr>
      <w:r>
        <w:rPr>
          <w:b/>
          <w:bCs/>
        </w:rPr>
        <w:t xml:space="preserve">Second: </w:t>
      </w:r>
      <w:r w:rsidRPr="00AA7F05">
        <w:rPr>
          <w:b/>
          <w:bCs/>
        </w:rPr>
        <w:t xml:space="preserve">Adoption of SNA 2008 </w:t>
      </w:r>
      <w:r>
        <w:rPr>
          <w:b/>
          <w:bCs/>
        </w:rPr>
        <w:t>R</w:t>
      </w:r>
      <w:r w:rsidRPr="00AA7F05">
        <w:rPr>
          <w:b/>
          <w:bCs/>
        </w:rPr>
        <w:t>ecommendations</w:t>
      </w:r>
    </w:p>
    <w:p w:rsidR="00AC1A77" w:rsidRPr="00AA7F05" w:rsidRDefault="00AC1A77" w:rsidP="00AC1A77">
      <w:pPr>
        <w:bidi w:val="0"/>
        <w:jc w:val="both"/>
      </w:pPr>
      <w:r w:rsidRPr="00AA7F05">
        <w:t xml:space="preserve">In line with </w:t>
      </w:r>
      <w:r>
        <w:t>its</w:t>
      </w:r>
      <w:r w:rsidRPr="00AA7F05">
        <w:t xml:space="preserve"> commitment to adopt the latest international recommendations for statistical systems, PCBS started to adopt the first steps of SNA-2008. </w:t>
      </w:r>
      <w:r>
        <w:t xml:space="preserve">For this purpose, it developed and updated its </w:t>
      </w:r>
      <w:r w:rsidRPr="00AA7F05">
        <w:t xml:space="preserve">data collection tools such as surveys and administrative records, and </w:t>
      </w:r>
      <w:r>
        <w:t>improved its</w:t>
      </w:r>
      <w:r w:rsidRPr="00AA7F05">
        <w:t xml:space="preserve"> questionnaires to address the </w:t>
      </w:r>
      <w:r>
        <w:t>concepts and definitions of SNA-</w:t>
      </w:r>
      <w:r w:rsidRPr="00AA7F05">
        <w:t>2008 as follows:</w:t>
      </w:r>
    </w:p>
    <w:p w:rsidR="00AC1A77" w:rsidRPr="000C2A54" w:rsidRDefault="00AC1A77" w:rsidP="00AC1A77">
      <w:pPr>
        <w:bidi w:val="0"/>
        <w:rPr>
          <w:sz w:val="22"/>
          <w:szCs w:val="22"/>
        </w:rPr>
      </w:pPr>
    </w:p>
    <w:p w:rsidR="00AC1A77" w:rsidRPr="00052FC9" w:rsidRDefault="00AC1A77" w:rsidP="00AC1A77">
      <w:pPr>
        <w:pStyle w:val="ListParagraph"/>
        <w:numPr>
          <w:ilvl w:val="0"/>
          <w:numId w:val="18"/>
        </w:numPr>
        <w:bidi w:val="0"/>
        <w:ind w:left="284" w:hanging="284"/>
        <w:jc w:val="both"/>
        <w:rPr>
          <w:b/>
          <w:bCs/>
        </w:rPr>
      </w:pPr>
      <w:r w:rsidRPr="00052FC9">
        <w:rPr>
          <w:b/>
          <w:bCs/>
        </w:rPr>
        <w:t>Financial and insurance activities</w:t>
      </w:r>
    </w:p>
    <w:p w:rsidR="00AC1A77" w:rsidRPr="00AA7F05" w:rsidRDefault="00AC1A77" w:rsidP="00AC1A77">
      <w:pPr>
        <w:pStyle w:val="ListParagraph"/>
        <w:bidi w:val="0"/>
        <w:ind w:left="0"/>
        <w:jc w:val="both"/>
      </w:pPr>
      <w:r w:rsidRPr="00AA7F05">
        <w:t xml:space="preserve">Financial activity </w:t>
      </w:r>
      <w:r>
        <w:t>is</w:t>
      </w:r>
      <w:r w:rsidRPr="00AA7F05">
        <w:t xml:space="preserve"> considerably affected by the changes in SNA-2008, which altered the classification of economic transactions due to changes in output and intermediate consumption as follows:</w:t>
      </w:r>
      <w:r>
        <w:t xml:space="preserve"> </w:t>
      </w:r>
    </w:p>
    <w:p w:rsidR="00AC1A77" w:rsidRPr="00AA7F05" w:rsidRDefault="00AC1A77" w:rsidP="000C2A54">
      <w:pPr>
        <w:pStyle w:val="ListParagraph"/>
        <w:numPr>
          <w:ilvl w:val="0"/>
          <w:numId w:val="24"/>
        </w:numPr>
        <w:bidi w:val="0"/>
        <w:ind w:left="426" w:hanging="284"/>
        <w:jc w:val="both"/>
      </w:pPr>
      <w:r w:rsidRPr="00AA7F05">
        <w:t xml:space="preserve">According to the recommendations of SNA-2008, the following items were classified as intermediate consumption. This led to </w:t>
      </w:r>
      <w:r>
        <w:t xml:space="preserve">an </w:t>
      </w:r>
      <w:r w:rsidRPr="00AA7F05">
        <w:t xml:space="preserve">increase in </w:t>
      </w:r>
      <w:r>
        <w:t xml:space="preserve">the </w:t>
      </w:r>
      <w:r w:rsidRPr="00AA7F05">
        <w:t xml:space="preserve">intermediate consumption, and therefore </w:t>
      </w:r>
      <w:r>
        <w:t xml:space="preserve">a </w:t>
      </w:r>
      <w:r w:rsidRPr="00AA7F05">
        <w:t>reduction in the value added:</w:t>
      </w:r>
    </w:p>
    <w:p w:rsidR="00AC1A77" w:rsidRPr="00AA7F05" w:rsidRDefault="00AC1A77" w:rsidP="000C2A54">
      <w:pPr>
        <w:pStyle w:val="ListParagraph"/>
        <w:numPr>
          <w:ilvl w:val="1"/>
          <w:numId w:val="18"/>
        </w:numPr>
        <w:bidi w:val="0"/>
        <w:ind w:left="709" w:hanging="283"/>
        <w:jc w:val="both"/>
      </w:pPr>
      <w:r w:rsidRPr="00AA7F05">
        <w:t>Institutional insurance premiums (excluding employees).</w:t>
      </w:r>
    </w:p>
    <w:p w:rsidR="00AC1A77" w:rsidRPr="00AA7F05" w:rsidRDefault="00AC1A77" w:rsidP="000C2A54">
      <w:pPr>
        <w:pStyle w:val="ListParagraph"/>
        <w:numPr>
          <w:ilvl w:val="1"/>
          <w:numId w:val="18"/>
        </w:numPr>
        <w:bidi w:val="0"/>
        <w:ind w:left="709" w:hanging="283"/>
        <w:jc w:val="both"/>
      </w:pPr>
      <w:r w:rsidRPr="00AA7F05">
        <w:t xml:space="preserve">Government fees such as the issuance of official transactions classified as government </w:t>
      </w:r>
      <w:r>
        <w:t>purchases</w:t>
      </w:r>
      <w:r w:rsidRPr="00AA7F05">
        <w:t>.</w:t>
      </w:r>
    </w:p>
    <w:p w:rsidR="00AC1A77" w:rsidRPr="00AA7F05" w:rsidRDefault="00AC1A77" w:rsidP="000C2A54">
      <w:pPr>
        <w:pStyle w:val="ListParagraph"/>
        <w:numPr>
          <w:ilvl w:val="1"/>
          <w:numId w:val="18"/>
        </w:numPr>
        <w:bidi w:val="0"/>
        <w:ind w:left="709" w:hanging="283"/>
        <w:jc w:val="both"/>
      </w:pPr>
      <w:r w:rsidRPr="00AA7F05">
        <w:t>Current maintenance of machinery and equipment was added as a separate item within the intermediate consumption.</w:t>
      </w:r>
    </w:p>
    <w:p w:rsidR="00AC1A77" w:rsidRPr="00AA7F05" w:rsidRDefault="00AC1A77" w:rsidP="000C2A54">
      <w:pPr>
        <w:pStyle w:val="ListParagraph"/>
        <w:numPr>
          <w:ilvl w:val="0"/>
          <w:numId w:val="22"/>
        </w:numPr>
        <w:bidi w:val="0"/>
        <w:ind w:left="426" w:hanging="284"/>
        <w:jc w:val="both"/>
      </w:pPr>
      <w:r w:rsidRPr="00AA7F05">
        <w:lastRenderedPageBreak/>
        <w:t>Calculation of FISIM by excluding dividends and investment income as property income.</w:t>
      </w:r>
    </w:p>
    <w:p w:rsidR="00AC1A77" w:rsidRDefault="00AC1A77" w:rsidP="000C2A54">
      <w:pPr>
        <w:pStyle w:val="ListParagraph"/>
        <w:numPr>
          <w:ilvl w:val="0"/>
          <w:numId w:val="22"/>
        </w:numPr>
        <w:bidi w:val="0"/>
        <w:ind w:left="426" w:hanging="284"/>
        <w:jc w:val="both"/>
      </w:pPr>
      <w:r w:rsidRPr="00AA7F05">
        <w:t>Stock dividends classified as property income rather than revenues and transfers.</w:t>
      </w:r>
    </w:p>
    <w:p w:rsidR="00AC1A77" w:rsidRPr="00AA7F05" w:rsidRDefault="00AC1A77" w:rsidP="000C2A54">
      <w:pPr>
        <w:pStyle w:val="ListParagraph"/>
        <w:numPr>
          <w:ilvl w:val="0"/>
          <w:numId w:val="22"/>
        </w:numPr>
        <w:bidi w:val="0"/>
        <w:ind w:left="426" w:hanging="284"/>
        <w:jc w:val="both"/>
      </w:pPr>
      <w:r>
        <w:t>FISIM is distributed between economic activities according to international recommendations related of SNA 2008.</w:t>
      </w:r>
    </w:p>
    <w:p w:rsidR="00AC1A77" w:rsidRPr="00957164" w:rsidRDefault="00AC1A77" w:rsidP="00AC1A77">
      <w:pPr>
        <w:bidi w:val="0"/>
        <w:jc w:val="both"/>
      </w:pPr>
    </w:p>
    <w:p w:rsidR="00AC1A77" w:rsidRPr="00052FC9" w:rsidRDefault="00AC1A77" w:rsidP="00AC1A77">
      <w:pPr>
        <w:pStyle w:val="ListParagraph"/>
        <w:numPr>
          <w:ilvl w:val="0"/>
          <w:numId w:val="18"/>
        </w:numPr>
        <w:bidi w:val="0"/>
        <w:ind w:left="284" w:hanging="284"/>
        <w:jc w:val="both"/>
        <w:rPr>
          <w:b/>
          <w:bCs/>
        </w:rPr>
      </w:pPr>
      <w:r w:rsidRPr="00052FC9">
        <w:rPr>
          <w:b/>
          <w:bCs/>
        </w:rPr>
        <w:t>Economic Surveys</w:t>
      </w:r>
    </w:p>
    <w:p w:rsidR="00AC1A77" w:rsidRPr="00AA7F05" w:rsidRDefault="00AC1A77" w:rsidP="00AC1A77">
      <w:pPr>
        <w:bidi w:val="0"/>
        <w:jc w:val="both"/>
      </w:pPr>
      <w:r w:rsidRPr="00AA7F05">
        <w:t>The questionnaire of economic surveys was adjusted to meet SNA-2008</w:t>
      </w:r>
      <w:r>
        <w:t xml:space="preserve"> </w:t>
      </w:r>
      <w:r w:rsidRPr="00AA7F05">
        <w:t>recommendations</w:t>
      </w:r>
      <w:r>
        <w:t xml:space="preserve"> for national and international reporting</w:t>
      </w:r>
      <w:r w:rsidRPr="00AA7F05">
        <w:t>:</w:t>
      </w:r>
    </w:p>
    <w:p w:rsidR="00AC1A77" w:rsidRPr="00AA7F05" w:rsidRDefault="00AC1A77" w:rsidP="000C2A54">
      <w:pPr>
        <w:pStyle w:val="ListParagraph"/>
        <w:numPr>
          <w:ilvl w:val="0"/>
          <w:numId w:val="23"/>
        </w:numPr>
        <w:bidi w:val="0"/>
        <w:ind w:left="426" w:hanging="284"/>
        <w:jc w:val="both"/>
      </w:pPr>
      <w:r>
        <w:t>Classifying g</w:t>
      </w:r>
      <w:r w:rsidRPr="00AA7F05">
        <w:t>overnment fees such as court fees, and issuing of official transactions within governmen</w:t>
      </w:r>
      <w:r>
        <w:t>t purchases under</w:t>
      </w:r>
      <w:r w:rsidRPr="00AA7F05">
        <w:t xml:space="preserve"> intermediate consumption rather than transfers.</w:t>
      </w:r>
      <w:r>
        <w:t xml:space="preserve"> </w:t>
      </w:r>
    </w:p>
    <w:p w:rsidR="00AC1A77" w:rsidRPr="00AA7F05" w:rsidRDefault="00AC1A77" w:rsidP="000C2A54">
      <w:pPr>
        <w:pStyle w:val="ListParagraph"/>
        <w:numPr>
          <w:ilvl w:val="0"/>
          <w:numId w:val="23"/>
        </w:numPr>
        <w:bidi w:val="0"/>
        <w:ind w:left="426" w:hanging="284"/>
        <w:jc w:val="both"/>
      </w:pPr>
      <w:r w:rsidRPr="00AA7F05">
        <w:t>Rearrangement of some items of intermediate consumption and current transfers.</w:t>
      </w:r>
    </w:p>
    <w:p w:rsidR="00AC1A77" w:rsidRPr="00AA7F05" w:rsidRDefault="00AC1A77" w:rsidP="000C2A54">
      <w:pPr>
        <w:pStyle w:val="ListParagraph"/>
        <w:numPr>
          <w:ilvl w:val="0"/>
          <w:numId w:val="23"/>
        </w:numPr>
        <w:bidi w:val="0"/>
        <w:ind w:left="426" w:hanging="284"/>
        <w:jc w:val="both"/>
      </w:pPr>
      <w:r w:rsidRPr="00AA7F05">
        <w:t>Adding property income items (land rent, interest on deposits and loans, stock dividends) as a requirement to compile the distribution and redistribution of income accounts.</w:t>
      </w:r>
    </w:p>
    <w:p w:rsidR="00AC1A77" w:rsidRDefault="00AC1A77" w:rsidP="000C2A54">
      <w:pPr>
        <w:pStyle w:val="ListParagraph"/>
        <w:numPr>
          <w:ilvl w:val="0"/>
          <w:numId w:val="23"/>
        </w:numPr>
        <w:bidi w:val="0"/>
        <w:ind w:left="426" w:hanging="284"/>
        <w:jc w:val="both"/>
      </w:pPr>
      <w:r w:rsidRPr="00AA7F05">
        <w:t>Adding a table related to other transfers, including taxes on income and wealth, pension entitlements and social funds, and grants in kind, cash and other transfers</w:t>
      </w:r>
      <w:r>
        <w:t>.</w:t>
      </w:r>
    </w:p>
    <w:p w:rsidR="00AC1A77" w:rsidRDefault="00AC1A77" w:rsidP="00AC1A77">
      <w:pPr>
        <w:pStyle w:val="ListParagraph"/>
        <w:bidi w:val="0"/>
        <w:ind w:left="567"/>
        <w:jc w:val="both"/>
      </w:pPr>
    </w:p>
    <w:p w:rsidR="00AC1A77" w:rsidRDefault="00AC1A77" w:rsidP="00385BB5">
      <w:pPr>
        <w:bidi w:val="0"/>
        <w:ind w:right="720"/>
        <w:rPr>
          <w:b/>
          <w:bCs/>
        </w:rPr>
      </w:pPr>
      <w:r>
        <w:rPr>
          <w:b/>
          <w:bCs/>
        </w:rPr>
        <w:t>Third: Revision of National Accounts for 2004-201</w:t>
      </w:r>
      <w:r w:rsidR="00385BB5">
        <w:rPr>
          <w:b/>
          <w:bCs/>
        </w:rPr>
        <w:t>6</w:t>
      </w:r>
      <w:r>
        <w:rPr>
          <w:b/>
          <w:bCs/>
        </w:rPr>
        <w:t xml:space="preserve">  Methodology</w:t>
      </w:r>
    </w:p>
    <w:p w:rsidR="00AC1A77" w:rsidRDefault="00AC1A77" w:rsidP="00AC1A77">
      <w:pPr>
        <w:bidi w:val="0"/>
        <w:ind w:right="-19"/>
      </w:pPr>
      <w:r w:rsidRPr="009C2A93">
        <w:t>National accounts</w:t>
      </w:r>
      <w:r>
        <w:t xml:space="preserve"> are revised for the years 2004-2018 according to different factors that lead to revision in order to achieve higher level of coverage for sources of national accounts.</w:t>
      </w:r>
    </w:p>
    <w:p w:rsidR="00AC1A77" w:rsidRDefault="00AC1A77" w:rsidP="00AC1A77">
      <w:pPr>
        <w:bidi w:val="0"/>
        <w:ind w:right="-19"/>
      </w:pPr>
      <w:r>
        <w:t>The main factors of revision are the following:</w:t>
      </w:r>
    </w:p>
    <w:p w:rsidR="00AC1A77" w:rsidRDefault="00AC1A77" w:rsidP="00AC1A77">
      <w:pPr>
        <w:bidi w:val="0"/>
        <w:ind w:right="-19"/>
      </w:pPr>
    </w:p>
    <w:p w:rsidR="00AC1A77" w:rsidRPr="00CF12EC" w:rsidRDefault="00AC1A77" w:rsidP="00AC1A77">
      <w:pPr>
        <w:tabs>
          <w:tab w:val="left" w:pos="720"/>
        </w:tabs>
        <w:bidi w:val="0"/>
        <w:ind w:right="-1"/>
        <w:jc w:val="lowKashida"/>
        <w:rPr>
          <w:b/>
          <w:bCs/>
        </w:rPr>
      </w:pPr>
      <w:r w:rsidRPr="00CF12EC">
        <w:rPr>
          <w:b/>
          <w:bCs/>
        </w:rPr>
        <w:t>(1). Compiling Supply and Use Tables</w:t>
      </w:r>
      <w:r w:rsidR="00906EFB">
        <w:rPr>
          <w:b/>
          <w:bCs/>
        </w:rPr>
        <w:t xml:space="preserve"> for year</w:t>
      </w:r>
      <w:r w:rsidRPr="00CF12EC">
        <w:rPr>
          <w:b/>
          <w:bCs/>
        </w:rPr>
        <w:t xml:space="preserve"> 2017</w:t>
      </w:r>
    </w:p>
    <w:p w:rsidR="00AC1A77" w:rsidRDefault="00AC1A77" w:rsidP="00AC1A77">
      <w:pPr>
        <w:tabs>
          <w:tab w:val="left" w:pos="720"/>
        </w:tabs>
        <w:bidi w:val="0"/>
        <w:ind w:right="-1"/>
        <w:jc w:val="lowKashida"/>
      </w:pPr>
      <w:r>
        <w:t>Supply and Use tables are considered as one of the important tools used in most statistical offices to track the general consistency of the data obtained from different sources, since those tables could check the weakness of data sources within the different transactions and products in the supply and use table.</w:t>
      </w:r>
    </w:p>
    <w:p w:rsidR="00AC1A77" w:rsidRDefault="00AC1A77" w:rsidP="00AC1A77">
      <w:pPr>
        <w:tabs>
          <w:tab w:val="left" w:pos="720"/>
        </w:tabs>
        <w:bidi w:val="0"/>
        <w:ind w:right="-1"/>
        <w:jc w:val="lowKashida"/>
      </w:pPr>
      <w:r>
        <w:t>Supply and use tables were compiled at the national account program at PCBS for different rounds depending on the availability of the data sources, and were recently compiled for the year 2017. In the meanwhile, those were compiled in the past for the years 1997 and 2004.</w:t>
      </w:r>
    </w:p>
    <w:p w:rsidR="00AC1A77" w:rsidRDefault="00AC1A77" w:rsidP="00AC1A77">
      <w:pPr>
        <w:tabs>
          <w:tab w:val="left" w:pos="720"/>
        </w:tabs>
        <w:bidi w:val="0"/>
        <w:ind w:right="-1"/>
        <w:jc w:val="lowKashida"/>
      </w:pPr>
      <w:r>
        <w:t>Supply and Use tables were compiled for the year 2017 for the following reasons:</w:t>
      </w:r>
    </w:p>
    <w:p w:rsidR="00AC1A77" w:rsidRPr="000C2A54" w:rsidRDefault="00AC1A77" w:rsidP="00AC1A77">
      <w:pPr>
        <w:tabs>
          <w:tab w:val="left" w:pos="720"/>
        </w:tabs>
        <w:bidi w:val="0"/>
        <w:ind w:right="-1"/>
        <w:jc w:val="lowKashida"/>
        <w:rPr>
          <w:sz w:val="14"/>
          <w:szCs w:val="14"/>
        </w:rPr>
      </w:pPr>
    </w:p>
    <w:p w:rsidR="00AC1A77" w:rsidRPr="005F21B5" w:rsidRDefault="00AC1A77" w:rsidP="000C2A54">
      <w:pPr>
        <w:pStyle w:val="ListParagraph"/>
        <w:numPr>
          <w:ilvl w:val="0"/>
          <w:numId w:val="32"/>
        </w:numPr>
        <w:bidi w:val="0"/>
        <w:ind w:left="426" w:right="-1" w:hanging="284"/>
        <w:jc w:val="lowKashida"/>
      </w:pPr>
      <w:r w:rsidRPr="005F21B5">
        <w:t xml:space="preserve">Performing </w:t>
      </w:r>
      <w:r>
        <w:t xml:space="preserve">the </w:t>
      </w:r>
      <w:r w:rsidRPr="005F21B5">
        <w:t>Population, Housing and Establishments Census 2017</w:t>
      </w:r>
      <w:r>
        <w:t xml:space="preserve"> which</w:t>
      </w:r>
      <w:r w:rsidRPr="005F21B5">
        <w:t xml:space="preserve"> provide</w:t>
      </w:r>
      <w:r>
        <w:t>s</w:t>
      </w:r>
      <w:r w:rsidRPr="005F21B5">
        <w:t xml:space="preserve"> </w:t>
      </w:r>
      <w:r>
        <w:t xml:space="preserve">a </w:t>
      </w:r>
      <w:r w:rsidRPr="005F21B5">
        <w:t xml:space="preserve">better coverage for </w:t>
      </w:r>
      <w:r>
        <w:t xml:space="preserve">the </w:t>
      </w:r>
      <w:r w:rsidRPr="005F21B5">
        <w:t>establishments</w:t>
      </w:r>
      <w:r>
        <w:t>'</w:t>
      </w:r>
      <w:r w:rsidRPr="005F21B5">
        <w:t xml:space="preserve"> framework </w:t>
      </w:r>
      <w:r>
        <w:t>of the economic surveys</w:t>
      </w:r>
      <w:r w:rsidRPr="005F21B5">
        <w:t xml:space="preserve">. </w:t>
      </w:r>
    </w:p>
    <w:p w:rsidR="00AC1A77" w:rsidRPr="00B86EFA" w:rsidRDefault="00AC1A77" w:rsidP="000C2A54">
      <w:pPr>
        <w:pStyle w:val="ListParagraph"/>
        <w:numPr>
          <w:ilvl w:val="0"/>
          <w:numId w:val="32"/>
        </w:numPr>
        <w:bidi w:val="0"/>
        <w:ind w:left="426" w:right="-1" w:hanging="284"/>
        <w:jc w:val="lowKashida"/>
      </w:pPr>
      <w:r w:rsidRPr="00B86EFA">
        <w:t xml:space="preserve">Performing </w:t>
      </w:r>
      <w:r>
        <w:t xml:space="preserve">the </w:t>
      </w:r>
      <w:r w:rsidRPr="00B86EFA">
        <w:t xml:space="preserve">Palestinian expenditure and consumption survey for year 2017 </w:t>
      </w:r>
      <w:r>
        <w:t>which led to a better</w:t>
      </w:r>
      <w:r w:rsidRPr="00B86EFA">
        <w:t xml:space="preserve"> estimation</w:t>
      </w:r>
      <w:r>
        <w:t xml:space="preserve"> </w:t>
      </w:r>
      <w:r w:rsidRPr="00B86EFA">
        <w:t>for</w:t>
      </w:r>
      <w:r>
        <w:t xml:space="preserve"> data</w:t>
      </w:r>
      <w:r w:rsidRPr="00B86EFA">
        <w:t xml:space="preserve"> </w:t>
      </w:r>
      <w:r>
        <w:t xml:space="preserve">of the </w:t>
      </w:r>
      <w:r w:rsidRPr="00B86EFA">
        <w:t>previous years.</w:t>
      </w:r>
    </w:p>
    <w:p w:rsidR="00AC1A77" w:rsidRPr="009C2A93" w:rsidRDefault="00AC1A77" w:rsidP="00AC1A77">
      <w:pPr>
        <w:pStyle w:val="ListParagraph"/>
        <w:bidi w:val="0"/>
        <w:ind w:left="1080" w:right="-19"/>
        <w:rPr>
          <w:rtl/>
        </w:rPr>
      </w:pPr>
    </w:p>
    <w:p w:rsidR="00AC1A77" w:rsidRPr="00EC61C8" w:rsidRDefault="00AC1A77" w:rsidP="00906EFB">
      <w:pPr>
        <w:tabs>
          <w:tab w:val="left" w:pos="720"/>
        </w:tabs>
        <w:bidi w:val="0"/>
        <w:ind w:right="-1"/>
        <w:jc w:val="lowKashida"/>
        <w:rPr>
          <w:b/>
          <w:bCs/>
        </w:rPr>
      </w:pPr>
      <w:r w:rsidRPr="00CF12EC">
        <w:rPr>
          <w:b/>
          <w:bCs/>
        </w:rPr>
        <w:t>(</w:t>
      </w:r>
      <w:r>
        <w:rPr>
          <w:b/>
          <w:bCs/>
        </w:rPr>
        <w:t>2</w:t>
      </w:r>
      <w:r w:rsidRPr="00CF12EC">
        <w:rPr>
          <w:b/>
          <w:bCs/>
        </w:rPr>
        <w:t xml:space="preserve">). </w:t>
      </w:r>
      <w:r>
        <w:rPr>
          <w:b/>
          <w:bCs/>
        </w:rPr>
        <w:t xml:space="preserve">Revising Economic Surveys </w:t>
      </w:r>
      <w:r w:rsidR="00906EFB">
        <w:rPr>
          <w:b/>
          <w:bCs/>
        </w:rPr>
        <w:t xml:space="preserve"> for years </w:t>
      </w:r>
      <w:r>
        <w:rPr>
          <w:b/>
          <w:bCs/>
        </w:rPr>
        <w:t xml:space="preserve">2013- 2016 based on the </w:t>
      </w:r>
      <w:r w:rsidRPr="00EC61C8">
        <w:rPr>
          <w:b/>
          <w:bCs/>
        </w:rPr>
        <w:t>Establishments Census 2017</w:t>
      </w:r>
    </w:p>
    <w:p w:rsidR="00AC1A77" w:rsidRDefault="00AC1A77" w:rsidP="00AC1A77">
      <w:pPr>
        <w:bidi w:val="0"/>
        <w:jc w:val="both"/>
      </w:pPr>
      <w:r>
        <w:t>Economic surveys are one of the main sources for national account statistics which provide data about establishments in different activities to the users to have an overview about the performance of private sector and nonprofit institutions sector.</w:t>
      </w:r>
    </w:p>
    <w:p w:rsidR="00AC1A77" w:rsidRPr="000C2A54" w:rsidRDefault="00AC1A77" w:rsidP="00AC1A77">
      <w:pPr>
        <w:bidi w:val="0"/>
        <w:jc w:val="both"/>
        <w:rPr>
          <w:sz w:val="18"/>
          <w:szCs w:val="18"/>
        </w:rPr>
      </w:pPr>
    </w:p>
    <w:p w:rsidR="00AC1A77" w:rsidRDefault="00AC1A77" w:rsidP="00AC1A77">
      <w:pPr>
        <w:bidi w:val="0"/>
        <w:jc w:val="both"/>
      </w:pPr>
      <w:r>
        <w:t xml:space="preserve">Economic survey sample depends on the Population, </w:t>
      </w:r>
      <w:r w:rsidRPr="005F21B5">
        <w:t>Housing and Establishments Census 2017</w:t>
      </w:r>
      <w:r>
        <w:t xml:space="preserve"> as a framework taking in the consideration the economic activities and geographical distribution.</w:t>
      </w:r>
    </w:p>
    <w:p w:rsidR="00AC1A77" w:rsidRPr="000C2A54" w:rsidRDefault="00AC1A77" w:rsidP="00AC1A77">
      <w:pPr>
        <w:bidi w:val="0"/>
        <w:jc w:val="both"/>
        <w:rPr>
          <w:b/>
          <w:bCs/>
          <w:sz w:val="18"/>
          <w:szCs w:val="18"/>
          <w:lang w:val="en-GB"/>
        </w:rPr>
      </w:pPr>
    </w:p>
    <w:p w:rsidR="00AC1A77" w:rsidRDefault="00AC1A77" w:rsidP="00AC1A77">
      <w:pPr>
        <w:bidi w:val="0"/>
        <w:jc w:val="both"/>
        <w:rPr>
          <w:rtl/>
        </w:rPr>
      </w:pPr>
      <w:r w:rsidRPr="002C198C">
        <w:t xml:space="preserve">According </w:t>
      </w:r>
      <w:r>
        <w:t xml:space="preserve">to </w:t>
      </w:r>
      <w:r w:rsidRPr="002C198C">
        <w:t>international recommendation</w:t>
      </w:r>
      <w:r>
        <w:t xml:space="preserve">s, economic survey data should be revised when the establishment census is conducted since the census provides better coverage for establishments data. </w:t>
      </w:r>
    </w:p>
    <w:p w:rsidR="00AC1A77" w:rsidRDefault="00AC1A77" w:rsidP="00AC1A77">
      <w:pPr>
        <w:bidi w:val="0"/>
        <w:jc w:val="both"/>
      </w:pPr>
    </w:p>
    <w:p w:rsidR="00AC1A77" w:rsidRDefault="00AC1A77" w:rsidP="00AC1A77">
      <w:pPr>
        <w:bidi w:val="0"/>
        <w:jc w:val="both"/>
      </w:pPr>
      <w:r>
        <w:lastRenderedPageBreak/>
        <w:t>The Establishments Census 2012 was conducted and then followed by the Establishments Census 2017. According to the recommendations, a revision of data should be applied between the two censuses to create consistent time series data and provide users with more accurate picture about the main economic indicators (Number of establishments, number of employees, compensation of employees, output, intermediate consumption, value added and gross fixed capital formation) for the following activities:</w:t>
      </w:r>
    </w:p>
    <w:p w:rsidR="00AC1A77" w:rsidRDefault="00AC1A77" w:rsidP="000C2A54">
      <w:pPr>
        <w:pStyle w:val="ListParagraph"/>
        <w:numPr>
          <w:ilvl w:val="0"/>
          <w:numId w:val="33"/>
        </w:numPr>
        <w:bidi w:val="0"/>
        <w:ind w:left="567" w:hanging="425"/>
        <w:jc w:val="both"/>
      </w:pPr>
      <w:r>
        <w:t>Industry</w:t>
      </w:r>
    </w:p>
    <w:p w:rsidR="00AC1A77" w:rsidRDefault="00AC1A77" w:rsidP="000C2A54">
      <w:pPr>
        <w:pStyle w:val="ListParagraph"/>
        <w:numPr>
          <w:ilvl w:val="0"/>
          <w:numId w:val="33"/>
        </w:numPr>
        <w:bidi w:val="0"/>
        <w:ind w:left="567" w:hanging="425"/>
        <w:jc w:val="both"/>
      </w:pPr>
      <w:r>
        <w:t>Construction</w:t>
      </w:r>
    </w:p>
    <w:p w:rsidR="00AC1A77" w:rsidRDefault="00AC1A77" w:rsidP="000C2A54">
      <w:pPr>
        <w:pStyle w:val="ListParagraph"/>
        <w:numPr>
          <w:ilvl w:val="0"/>
          <w:numId w:val="33"/>
        </w:numPr>
        <w:bidi w:val="0"/>
        <w:ind w:left="567" w:hanging="425"/>
        <w:jc w:val="both"/>
      </w:pPr>
      <w:r>
        <w:t>Internal trade</w:t>
      </w:r>
    </w:p>
    <w:p w:rsidR="00AC1A77" w:rsidRDefault="00AC1A77" w:rsidP="000C2A54">
      <w:pPr>
        <w:pStyle w:val="ListParagraph"/>
        <w:numPr>
          <w:ilvl w:val="0"/>
          <w:numId w:val="33"/>
        </w:numPr>
        <w:bidi w:val="0"/>
        <w:ind w:left="567" w:hanging="425"/>
        <w:jc w:val="both"/>
      </w:pPr>
      <w:r>
        <w:t>Transport and storage</w:t>
      </w:r>
    </w:p>
    <w:p w:rsidR="00AC1A77" w:rsidRDefault="00AC1A77" w:rsidP="000C2A54">
      <w:pPr>
        <w:pStyle w:val="ListParagraph"/>
        <w:numPr>
          <w:ilvl w:val="0"/>
          <w:numId w:val="33"/>
        </w:numPr>
        <w:bidi w:val="0"/>
        <w:ind w:left="567" w:hanging="425"/>
        <w:jc w:val="both"/>
      </w:pPr>
      <w:r>
        <w:t>Information and communication</w:t>
      </w:r>
    </w:p>
    <w:p w:rsidR="00AC1A77" w:rsidRDefault="00AC1A77" w:rsidP="000C2A54">
      <w:pPr>
        <w:pStyle w:val="ListParagraph"/>
        <w:numPr>
          <w:ilvl w:val="0"/>
          <w:numId w:val="33"/>
        </w:numPr>
        <w:bidi w:val="0"/>
        <w:ind w:left="567" w:hanging="425"/>
        <w:jc w:val="both"/>
      </w:pPr>
      <w:r>
        <w:t>Services.</w:t>
      </w:r>
    </w:p>
    <w:p w:rsidR="00AC1A77" w:rsidRDefault="00AC1A77" w:rsidP="00AC1A77">
      <w:pPr>
        <w:bidi w:val="0"/>
        <w:jc w:val="both"/>
      </w:pPr>
    </w:p>
    <w:p w:rsidR="00AC1A77" w:rsidRPr="00EC61C8" w:rsidRDefault="00AC1A77" w:rsidP="00AC1A77">
      <w:pPr>
        <w:tabs>
          <w:tab w:val="left" w:pos="720"/>
        </w:tabs>
        <w:bidi w:val="0"/>
        <w:ind w:right="-1"/>
        <w:jc w:val="lowKashida"/>
        <w:rPr>
          <w:b/>
          <w:bCs/>
        </w:rPr>
      </w:pPr>
      <w:r w:rsidRPr="00CF12EC">
        <w:rPr>
          <w:b/>
          <w:bCs/>
        </w:rPr>
        <w:t>(</w:t>
      </w:r>
      <w:r>
        <w:rPr>
          <w:b/>
          <w:bCs/>
        </w:rPr>
        <w:t>3</w:t>
      </w:r>
      <w:r w:rsidRPr="00CF12EC">
        <w:rPr>
          <w:b/>
          <w:bCs/>
        </w:rPr>
        <w:t xml:space="preserve">). </w:t>
      </w:r>
      <w:r>
        <w:rPr>
          <w:b/>
          <w:bCs/>
        </w:rPr>
        <w:t>Development achieved through the adopted methodologies in economic surveys to increase the use of administrative records</w:t>
      </w:r>
    </w:p>
    <w:p w:rsidR="00AC1A77" w:rsidRDefault="00AC1A77" w:rsidP="00AC1A77">
      <w:pPr>
        <w:bidi w:val="0"/>
        <w:jc w:val="both"/>
      </w:pPr>
      <w:r>
        <w:t>Within the continuous efforts of PCBS to develop the methodologies for the economic surveys and towards more use of the administrative records, the financial records for the companies registered at the Ministry of Finance were used to capture the private sector.  This work led to improvements in the data coverage for the registered establishments and facilitated comparing them with the same data from the surveys which depended on sample.</w:t>
      </w:r>
    </w:p>
    <w:p w:rsidR="0079211F" w:rsidRDefault="0079211F" w:rsidP="0079211F">
      <w:pPr>
        <w:bidi w:val="0"/>
        <w:jc w:val="both"/>
      </w:pPr>
    </w:p>
    <w:p w:rsidR="00A733A0" w:rsidRPr="00A733A0" w:rsidRDefault="0079211F" w:rsidP="00A733A0">
      <w:pPr>
        <w:bidi w:val="0"/>
        <w:jc w:val="both"/>
        <w:rPr>
          <w:b/>
          <w:bCs/>
        </w:rPr>
      </w:pPr>
      <w:r w:rsidRPr="00CF12EC">
        <w:rPr>
          <w:b/>
          <w:bCs/>
        </w:rPr>
        <w:t>(</w:t>
      </w:r>
      <w:r>
        <w:rPr>
          <w:b/>
          <w:bCs/>
        </w:rPr>
        <w:t>4</w:t>
      </w:r>
      <w:r w:rsidRPr="00CF12EC">
        <w:rPr>
          <w:b/>
          <w:bCs/>
        </w:rPr>
        <w:t>).</w:t>
      </w:r>
      <w:r w:rsidR="00A733A0" w:rsidRPr="00A733A0">
        <w:rPr>
          <w:b/>
          <w:bCs/>
        </w:rPr>
        <w:t xml:space="preserve"> Financial Intermediation Services Indirectly</w:t>
      </w:r>
      <w:r w:rsidR="00A733A0">
        <w:rPr>
          <w:b/>
          <w:bCs/>
        </w:rPr>
        <w:t xml:space="preserve"> </w:t>
      </w:r>
      <w:r w:rsidR="00A733A0" w:rsidRPr="00A733A0">
        <w:rPr>
          <w:b/>
          <w:bCs/>
        </w:rPr>
        <w:t>Measured (FISIM)</w:t>
      </w:r>
    </w:p>
    <w:p w:rsidR="0079211F" w:rsidRPr="002C198C" w:rsidRDefault="00A733A0" w:rsidP="008E35C4">
      <w:pPr>
        <w:bidi w:val="0"/>
        <w:jc w:val="both"/>
      </w:pPr>
      <w:r>
        <w:t xml:space="preserve">Depending on the  System of National Accounts 1993, </w:t>
      </w:r>
      <w:r w:rsidRPr="00A733A0">
        <w:t xml:space="preserve">Financial Intermediation Services Indirectly Measured </w:t>
      </w:r>
      <w:r>
        <w:t>were considered intermediate consumption, as they were included in intermediate consumption without distributing them to economic activities, where the National Accounts System 2008 recommended to distribute financial intermediation services indirectly measured to economic activities.</w:t>
      </w:r>
    </w:p>
    <w:p w:rsidR="00AC1A77" w:rsidRPr="00A733A0" w:rsidRDefault="00AC1A77" w:rsidP="00AC1A77">
      <w:pPr>
        <w:bidi w:val="0"/>
      </w:pPr>
    </w:p>
    <w:p w:rsidR="00AC1A77" w:rsidRPr="00AA7F05" w:rsidRDefault="00AC1A77" w:rsidP="00AC1A77">
      <w:pPr>
        <w:bidi w:val="0"/>
        <w:rPr>
          <w:b/>
          <w:bCs/>
          <w:lang w:val="en-GB"/>
        </w:rPr>
      </w:pPr>
      <w:r>
        <w:rPr>
          <w:b/>
          <w:bCs/>
          <w:lang w:val="en-GB"/>
        </w:rPr>
        <w:t>3</w:t>
      </w:r>
      <w:r w:rsidRPr="00AA7F05">
        <w:rPr>
          <w:b/>
          <w:bCs/>
          <w:lang w:val="en-GB"/>
        </w:rPr>
        <w:t xml:space="preserve">.1.2 </w:t>
      </w:r>
      <w:r w:rsidRPr="00AA7F05">
        <w:rPr>
          <w:b/>
          <w:bCs/>
        </w:rPr>
        <w:t>National Accounts</w:t>
      </w:r>
      <w:r w:rsidRPr="00AA7F05">
        <w:rPr>
          <w:b/>
          <w:bCs/>
          <w:lang w:val="en-GB"/>
        </w:rPr>
        <w:t xml:space="preserve"> at Constant Prices</w:t>
      </w:r>
      <w:r>
        <w:rPr>
          <w:rFonts w:hint="cs"/>
          <w:b/>
          <w:bCs/>
          <w:rtl/>
          <w:lang w:val="en-GB"/>
        </w:rPr>
        <w:t xml:space="preserve"> </w:t>
      </w:r>
    </w:p>
    <w:p w:rsidR="00AC1A77" w:rsidRPr="00AA7F05" w:rsidRDefault="00AC1A77" w:rsidP="00AC1A77">
      <w:pPr>
        <w:bidi w:val="0"/>
        <w:jc w:val="lowKashida"/>
        <w:rPr>
          <w:lang w:val="en-GB"/>
        </w:rPr>
      </w:pPr>
      <w:r w:rsidRPr="00AA7F05">
        <w:rPr>
          <w:lang w:val="en-GB"/>
        </w:rPr>
        <w:t xml:space="preserve">The methodology for compiling National Accounts at constant prices was based on a set of price indices and deflators. PCBS compiled </w:t>
      </w:r>
      <w:r w:rsidRPr="00AA7F05">
        <w:t>three</w:t>
      </w:r>
      <w:r w:rsidRPr="00AA7F05">
        <w:rPr>
          <w:lang w:val="en-GB"/>
        </w:rPr>
        <w:t xml:space="preserve"> types of price indices (consumer price index, producer and wholesale price index) based on 20</w:t>
      </w:r>
      <w:r>
        <w:rPr>
          <w:lang w:val="en-GB"/>
        </w:rPr>
        <w:t>10</w:t>
      </w:r>
      <w:r w:rsidRPr="00AA7F05">
        <w:rPr>
          <w:lang w:val="en-GB"/>
        </w:rPr>
        <w:t xml:space="preserve"> as the base year for the CPI and </w:t>
      </w:r>
      <w:r>
        <w:rPr>
          <w:lang w:val="en-GB"/>
        </w:rPr>
        <w:t>2015</w:t>
      </w:r>
      <w:r w:rsidRPr="00AA7F05">
        <w:rPr>
          <w:lang w:val="en-GB"/>
        </w:rPr>
        <w:t xml:space="preserve"> as the base year for the </w:t>
      </w:r>
      <w:r>
        <w:rPr>
          <w:lang w:val="en-GB"/>
        </w:rPr>
        <w:t>National Accounts which was the year 2004</w:t>
      </w:r>
      <w:r w:rsidRPr="00AA7F05">
        <w:rPr>
          <w:lang w:val="en-GB"/>
        </w:rPr>
        <w:t>.</w:t>
      </w:r>
    </w:p>
    <w:p w:rsidR="00AC1A77" w:rsidRPr="00957164" w:rsidRDefault="00AC1A77" w:rsidP="00AC1A77">
      <w:pPr>
        <w:bidi w:val="0"/>
        <w:jc w:val="lowKashida"/>
        <w:rPr>
          <w:sz w:val="22"/>
          <w:szCs w:val="22"/>
          <w:lang w:val="en-GB"/>
        </w:rPr>
      </w:pPr>
    </w:p>
    <w:p w:rsidR="00AC1A77" w:rsidRPr="00AA7F05" w:rsidRDefault="00AC1A77" w:rsidP="00AC1A77">
      <w:pPr>
        <w:bidi w:val="0"/>
        <w:jc w:val="lowKashida"/>
        <w:rPr>
          <w:lang w:val="en-GB"/>
        </w:rPr>
      </w:pPr>
      <w:r w:rsidRPr="00AA7F05">
        <w:rPr>
          <w:lang w:val="en-GB"/>
        </w:rPr>
        <w:t xml:space="preserve">PCBS adopted a double–deflation method </w:t>
      </w:r>
      <w:r>
        <w:rPr>
          <w:lang w:val="en-GB"/>
        </w:rPr>
        <w:t xml:space="preserve">in </w:t>
      </w:r>
      <w:r w:rsidRPr="00AA7F05">
        <w:rPr>
          <w:lang w:val="en-GB"/>
        </w:rPr>
        <w:t xml:space="preserve">deflating the main transactions. </w:t>
      </w:r>
      <w:r>
        <w:rPr>
          <w:lang w:val="en-GB"/>
        </w:rPr>
        <w:t>An</w:t>
      </w:r>
      <w:r w:rsidRPr="00AA7F05">
        <w:rPr>
          <w:lang w:val="en-GB"/>
        </w:rPr>
        <w:t xml:space="preserve"> updated methodology was used for </w:t>
      </w:r>
      <w:r w:rsidRPr="00EB6343">
        <w:rPr>
          <w:color w:val="000000" w:themeColor="text1"/>
          <w:lang w:val="en-GB"/>
        </w:rPr>
        <w:t xml:space="preserve">the compilation of the National Accounts </w:t>
      </w:r>
      <w:r>
        <w:rPr>
          <w:color w:val="000000" w:themeColor="text1"/>
        </w:rPr>
        <w:t>2004-2018</w:t>
      </w:r>
      <w:r w:rsidRPr="00EB6343">
        <w:rPr>
          <w:color w:val="000000" w:themeColor="text1"/>
          <w:lang w:val="en-GB"/>
        </w:rPr>
        <w:t xml:space="preserve"> in line</w:t>
      </w:r>
      <w:r w:rsidRPr="00AA7F05">
        <w:rPr>
          <w:lang w:val="en-GB"/>
        </w:rPr>
        <w:t xml:space="preserve"> with international recommendations to </w:t>
      </w:r>
      <w:r>
        <w:rPr>
          <w:lang w:val="en-GB"/>
        </w:rPr>
        <w:t>rebase the National Accounts data to be the year 2015</w:t>
      </w:r>
      <w:r w:rsidRPr="00AA7F05">
        <w:rPr>
          <w:lang w:val="en-GB"/>
        </w:rPr>
        <w:t xml:space="preserve">. The new methodology also takes into consideration discrepancies in prices between the West Bank and Gaza Strip. It recommends compiling separate indices for </w:t>
      </w:r>
      <w:r>
        <w:rPr>
          <w:lang w:val="en-GB"/>
        </w:rPr>
        <w:t>each</w:t>
      </w:r>
      <w:r w:rsidRPr="00AA7F05">
        <w:rPr>
          <w:lang w:val="en-GB"/>
        </w:rPr>
        <w:t xml:space="preserve"> </w:t>
      </w:r>
      <w:r>
        <w:rPr>
          <w:lang w:val="en-GB"/>
        </w:rPr>
        <w:t>region</w:t>
      </w:r>
      <w:r w:rsidRPr="00AA7F05">
        <w:rPr>
          <w:lang w:val="en-GB"/>
        </w:rPr>
        <w:t xml:space="preserve"> and</w:t>
      </w:r>
      <w:r>
        <w:rPr>
          <w:lang w:val="en-GB"/>
        </w:rPr>
        <w:t>;</w:t>
      </w:r>
      <w:r w:rsidRPr="00AA7F05">
        <w:rPr>
          <w:lang w:val="en-GB"/>
        </w:rPr>
        <w:t xml:space="preserve"> therefore</w:t>
      </w:r>
      <w:r>
        <w:rPr>
          <w:lang w:val="en-GB"/>
        </w:rPr>
        <w:t>,</w:t>
      </w:r>
      <w:r w:rsidRPr="00AA7F05">
        <w:rPr>
          <w:lang w:val="en-GB"/>
        </w:rPr>
        <w:t xml:space="preserve"> separate deflators. </w:t>
      </w:r>
    </w:p>
    <w:p w:rsidR="00AC1A77" w:rsidRPr="00957164" w:rsidRDefault="00AC1A77" w:rsidP="00AC1A77">
      <w:pPr>
        <w:bidi w:val="0"/>
        <w:rPr>
          <w:b/>
          <w:bCs/>
          <w:lang w:val="en-GB"/>
        </w:rPr>
      </w:pPr>
    </w:p>
    <w:p w:rsidR="00AC1A77" w:rsidRPr="00BF1CA3" w:rsidRDefault="00AC1A77" w:rsidP="00AC1A77">
      <w:pPr>
        <w:bidi w:val="0"/>
        <w:jc w:val="lowKashida"/>
        <w:rPr>
          <w:b/>
          <w:bCs/>
        </w:rPr>
      </w:pPr>
      <w:r>
        <w:rPr>
          <w:b/>
          <w:bCs/>
        </w:rPr>
        <w:t>3</w:t>
      </w:r>
      <w:r w:rsidRPr="00BF1CA3">
        <w:rPr>
          <w:b/>
          <w:bCs/>
        </w:rPr>
        <w:t>.2 Institutional National Accounts Methodology</w:t>
      </w:r>
    </w:p>
    <w:p w:rsidR="00AC1A77" w:rsidRDefault="00AC1A77" w:rsidP="00ED0E5A">
      <w:pPr>
        <w:bidi w:val="0"/>
        <w:jc w:val="lowKashida"/>
        <w:rPr>
          <w:rtl/>
          <w:lang w:val="en-GB"/>
        </w:rPr>
      </w:pPr>
      <w:r w:rsidRPr="00BF1CA3">
        <w:rPr>
          <w:lang w:val="en-GB"/>
        </w:rPr>
        <w:t xml:space="preserve">The methodology for compiling </w:t>
      </w:r>
      <w:r>
        <w:rPr>
          <w:lang w:val="en-GB"/>
        </w:rPr>
        <w:t>i</w:t>
      </w:r>
      <w:r w:rsidRPr="00BF1CA3">
        <w:rPr>
          <w:lang w:val="en-GB"/>
        </w:rPr>
        <w:t xml:space="preserve">nstitutional </w:t>
      </w:r>
      <w:r>
        <w:rPr>
          <w:lang w:val="en-GB"/>
        </w:rPr>
        <w:t>N</w:t>
      </w:r>
      <w:r w:rsidRPr="00BF1CA3">
        <w:rPr>
          <w:lang w:val="en-GB"/>
        </w:rPr>
        <w:t xml:space="preserve">ational </w:t>
      </w:r>
      <w:r>
        <w:rPr>
          <w:lang w:val="en-GB"/>
        </w:rPr>
        <w:t>A</w:t>
      </w:r>
      <w:r w:rsidRPr="00BF1CA3">
        <w:rPr>
          <w:lang w:val="en-GB"/>
        </w:rPr>
        <w:t xml:space="preserve">ccounts is primarily based on the annual </w:t>
      </w:r>
      <w:r>
        <w:rPr>
          <w:lang w:val="en-GB"/>
        </w:rPr>
        <w:t>N</w:t>
      </w:r>
      <w:r w:rsidRPr="00BF1CA3">
        <w:rPr>
          <w:lang w:val="en-GB"/>
        </w:rPr>
        <w:t xml:space="preserve">ational </w:t>
      </w:r>
      <w:r>
        <w:rPr>
          <w:lang w:val="en-GB"/>
        </w:rPr>
        <w:t>A</w:t>
      </w:r>
      <w:r w:rsidRPr="00BF1CA3">
        <w:rPr>
          <w:lang w:val="en-GB"/>
        </w:rPr>
        <w:t>ccounts</w:t>
      </w:r>
      <w:r>
        <w:rPr>
          <w:lang w:val="en-GB"/>
        </w:rPr>
        <w:t>, where the gross value added is distributed on the five institutional sectors, where the</w:t>
      </w:r>
      <w:r w:rsidRPr="00BF1CA3">
        <w:rPr>
          <w:lang w:val="en-GB"/>
        </w:rPr>
        <w:t xml:space="preserve"> classification of data sources according to the </w:t>
      </w:r>
      <w:r>
        <w:rPr>
          <w:lang w:val="en-GB"/>
        </w:rPr>
        <w:t xml:space="preserve">nature of the </w:t>
      </w:r>
      <w:r w:rsidRPr="00BF1CA3">
        <w:rPr>
          <w:lang w:val="en-GB"/>
        </w:rPr>
        <w:t>institutional sector</w:t>
      </w:r>
      <w:r>
        <w:rPr>
          <w:lang w:val="en-GB"/>
        </w:rPr>
        <w:t xml:space="preserve"> is</w:t>
      </w:r>
      <w:r w:rsidRPr="00BF1CA3">
        <w:rPr>
          <w:lang w:val="en-GB"/>
        </w:rPr>
        <w:t xml:space="preserve"> based on the SNA</w:t>
      </w:r>
      <w:r>
        <w:rPr>
          <w:lang w:val="en-GB"/>
        </w:rPr>
        <w:t xml:space="preserve"> 2008</w:t>
      </w:r>
      <w:r w:rsidRPr="00BF1CA3">
        <w:rPr>
          <w:lang w:val="en-GB"/>
        </w:rPr>
        <w:t xml:space="preserve"> recommendations.</w:t>
      </w:r>
    </w:p>
    <w:p w:rsidR="00AC1A77" w:rsidRPr="00BF1CA3" w:rsidRDefault="00AC1A77" w:rsidP="00AC1A77">
      <w:pPr>
        <w:bidi w:val="0"/>
        <w:jc w:val="lowKashida"/>
        <w:rPr>
          <w:rtl/>
          <w:lang w:val="en-GB"/>
        </w:rPr>
      </w:pPr>
    </w:p>
    <w:p w:rsidR="00AC1A77" w:rsidRPr="00E612EF" w:rsidRDefault="00AC1A77" w:rsidP="00AC1A77">
      <w:pPr>
        <w:bidi w:val="0"/>
        <w:jc w:val="lowKashida"/>
        <w:rPr>
          <w:b/>
          <w:bCs/>
          <w:lang w:val="en-GB"/>
        </w:rPr>
      </w:pPr>
      <w:r w:rsidRPr="00E612EF">
        <w:rPr>
          <w:b/>
          <w:bCs/>
          <w:lang w:val="en-GB"/>
        </w:rPr>
        <w:t>3.2.1 Methodology of compilation</w:t>
      </w:r>
    </w:p>
    <w:p w:rsidR="00AC1A77" w:rsidRDefault="00AC1A77" w:rsidP="00AC1A77">
      <w:pPr>
        <w:bidi w:val="0"/>
        <w:jc w:val="lowKashida"/>
        <w:rPr>
          <w:lang w:val="en-GB"/>
        </w:rPr>
      </w:pPr>
      <w:r w:rsidRPr="00BF1CA3">
        <w:rPr>
          <w:lang w:val="en-GB"/>
        </w:rPr>
        <w:t xml:space="preserve">Institutional </w:t>
      </w:r>
      <w:r>
        <w:rPr>
          <w:lang w:val="en-GB"/>
        </w:rPr>
        <w:t>N</w:t>
      </w:r>
      <w:r w:rsidRPr="00BF1CA3">
        <w:rPr>
          <w:lang w:val="en-GB"/>
        </w:rPr>
        <w:t xml:space="preserve">ational </w:t>
      </w:r>
      <w:r>
        <w:rPr>
          <w:lang w:val="en-GB"/>
        </w:rPr>
        <w:t>A</w:t>
      </w:r>
      <w:r w:rsidRPr="00BF1CA3">
        <w:rPr>
          <w:lang w:val="en-GB"/>
        </w:rPr>
        <w:t>ccounts</w:t>
      </w:r>
      <w:r>
        <w:rPr>
          <w:lang w:val="en-GB"/>
        </w:rPr>
        <w:t xml:space="preserve"> are compiled in two stages:</w:t>
      </w:r>
    </w:p>
    <w:p w:rsidR="00AC1A77" w:rsidRPr="000C2A54" w:rsidRDefault="00AC1A77" w:rsidP="00AC1A77">
      <w:pPr>
        <w:bidi w:val="0"/>
        <w:jc w:val="lowKashida"/>
        <w:rPr>
          <w:sz w:val="14"/>
          <w:szCs w:val="14"/>
          <w:lang w:val="en-GB"/>
        </w:rPr>
      </w:pPr>
    </w:p>
    <w:p w:rsidR="00AC1A77" w:rsidRDefault="00AC1A77" w:rsidP="000C2A54">
      <w:pPr>
        <w:pStyle w:val="ListParagraph"/>
        <w:numPr>
          <w:ilvl w:val="0"/>
          <w:numId w:val="23"/>
        </w:numPr>
        <w:bidi w:val="0"/>
        <w:ind w:left="426" w:hanging="284"/>
        <w:jc w:val="both"/>
      </w:pPr>
      <w:r>
        <w:lastRenderedPageBreak/>
        <w:t>First stage</w:t>
      </w:r>
      <w:r w:rsidRPr="00491935">
        <w:t xml:space="preserve">: </w:t>
      </w:r>
      <w:r>
        <w:t>M</w:t>
      </w:r>
      <w:r w:rsidRPr="00491935">
        <w:t>ost National Accounts data are directly classified to the appropriate institutional sector because the nature of the activity and the source of the data provide clear and accurate information about the institutional sector to which the data belong.</w:t>
      </w:r>
    </w:p>
    <w:p w:rsidR="00AC1A77" w:rsidRDefault="00AC1A77" w:rsidP="000C2A54">
      <w:pPr>
        <w:pStyle w:val="ListParagraph"/>
        <w:numPr>
          <w:ilvl w:val="0"/>
          <w:numId w:val="23"/>
        </w:numPr>
        <w:bidi w:val="0"/>
        <w:ind w:left="426" w:hanging="284"/>
        <w:jc w:val="both"/>
      </w:pPr>
      <w:r>
        <w:t>Second stage: T</w:t>
      </w:r>
      <w:r w:rsidRPr="00A512DF">
        <w:t>he annual economic surveys data, which are the most important source in the National Accounts data, is processed. A variable representing the weight of each activity is derived from the establishments census, in addition to the sample of annual economic</w:t>
      </w:r>
      <w:r>
        <w:t xml:space="preserve"> surveys.</w:t>
      </w:r>
    </w:p>
    <w:p w:rsidR="00AC1A77" w:rsidRDefault="00AC1A77" w:rsidP="00AC1A77">
      <w:pPr>
        <w:bidi w:val="0"/>
        <w:jc w:val="both"/>
      </w:pPr>
    </w:p>
    <w:p w:rsidR="00AC1A77" w:rsidRPr="00951EF2" w:rsidRDefault="00AC1A77" w:rsidP="00AC1A77">
      <w:pPr>
        <w:bidi w:val="0"/>
        <w:jc w:val="both"/>
        <w:rPr>
          <w:b/>
          <w:bCs/>
        </w:rPr>
      </w:pPr>
      <w:r w:rsidRPr="00951EF2">
        <w:rPr>
          <w:b/>
          <w:bCs/>
        </w:rPr>
        <w:t>Activities which are directly classified to its institutional sector:</w:t>
      </w:r>
    </w:p>
    <w:p w:rsidR="00AC1A77" w:rsidRDefault="00AC1A77" w:rsidP="000C2A54">
      <w:pPr>
        <w:pStyle w:val="ListParagraph"/>
        <w:numPr>
          <w:ilvl w:val="0"/>
          <w:numId w:val="23"/>
        </w:numPr>
        <w:bidi w:val="0"/>
        <w:ind w:left="426" w:hanging="284"/>
        <w:jc w:val="both"/>
      </w:pPr>
      <w:r>
        <w:t>Agriculture and Fishing is c</w:t>
      </w:r>
      <w:r w:rsidRPr="00D443AF">
        <w:t xml:space="preserve">lassified </w:t>
      </w:r>
      <w:r>
        <w:t>to</w:t>
      </w:r>
      <w:r w:rsidRPr="00D443AF">
        <w:t xml:space="preserve"> household sector.</w:t>
      </w:r>
    </w:p>
    <w:p w:rsidR="00AC1A77" w:rsidRDefault="00AC1A77" w:rsidP="000C2A54">
      <w:pPr>
        <w:pStyle w:val="ListParagraph"/>
        <w:numPr>
          <w:ilvl w:val="0"/>
          <w:numId w:val="23"/>
        </w:numPr>
        <w:bidi w:val="0"/>
        <w:ind w:left="426" w:hanging="284"/>
        <w:jc w:val="both"/>
      </w:pPr>
      <w:r w:rsidRPr="000C2A54">
        <w:t>Financial intermediation is classified to the financial enterprises sector.</w:t>
      </w:r>
    </w:p>
    <w:p w:rsidR="00AC1A77" w:rsidRDefault="00AC1A77" w:rsidP="000C2A54">
      <w:pPr>
        <w:pStyle w:val="ListParagraph"/>
        <w:numPr>
          <w:ilvl w:val="0"/>
          <w:numId w:val="23"/>
        </w:numPr>
        <w:bidi w:val="0"/>
        <w:ind w:left="426" w:hanging="284"/>
        <w:jc w:val="both"/>
      </w:pPr>
      <w:r w:rsidRPr="000C2A54">
        <w:t>Public administration and defence is classified to general government sector.</w:t>
      </w:r>
    </w:p>
    <w:p w:rsidR="00AC1A77" w:rsidRPr="00D443AF" w:rsidRDefault="00AC1A77" w:rsidP="000C2A54">
      <w:pPr>
        <w:pStyle w:val="ListParagraph"/>
        <w:numPr>
          <w:ilvl w:val="0"/>
          <w:numId w:val="23"/>
        </w:numPr>
        <w:bidi w:val="0"/>
        <w:ind w:left="426" w:hanging="284"/>
        <w:jc w:val="both"/>
      </w:pPr>
      <w:r w:rsidRPr="000C2A54">
        <w:t>Household services belong to the household sector.</w:t>
      </w:r>
    </w:p>
    <w:p w:rsidR="00AC1A77" w:rsidRDefault="00AC1A77" w:rsidP="00AC1A77">
      <w:pPr>
        <w:bidi w:val="0"/>
        <w:jc w:val="lowKashida"/>
        <w:rPr>
          <w:b/>
          <w:bCs/>
        </w:rPr>
      </w:pPr>
    </w:p>
    <w:p w:rsidR="00AC1A77" w:rsidRPr="00951EF2" w:rsidRDefault="00AC1A77" w:rsidP="00AC1A77">
      <w:pPr>
        <w:bidi w:val="0"/>
        <w:jc w:val="lowKashida"/>
        <w:rPr>
          <w:b/>
          <w:bCs/>
        </w:rPr>
      </w:pPr>
      <w:r w:rsidRPr="00951EF2">
        <w:rPr>
          <w:b/>
          <w:bCs/>
        </w:rPr>
        <w:t>Economic surveys data:</w:t>
      </w:r>
    </w:p>
    <w:p w:rsidR="00AC1A77" w:rsidRPr="00C54B5B" w:rsidRDefault="00AC1A77" w:rsidP="00AC1A77">
      <w:pPr>
        <w:bidi w:val="0"/>
        <w:jc w:val="lowKashida"/>
        <w:rPr>
          <w:lang w:val="en-GB"/>
        </w:rPr>
      </w:pPr>
      <w:r w:rsidRPr="00C54B5B">
        <w:rPr>
          <w:lang w:val="en-GB"/>
        </w:rPr>
        <w:t>Economic survey</w:t>
      </w:r>
      <w:r>
        <w:rPr>
          <w:lang w:val="en-GB"/>
        </w:rPr>
        <w:t>s</w:t>
      </w:r>
      <w:r w:rsidRPr="00C54B5B">
        <w:rPr>
          <w:lang w:val="en-GB"/>
        </w:rPr>
        <w:t xml:space="preserve"> data are distributed among three sectors: </w:t>
      </w:r>
      <w:r>
        <w:rPr>
          <w:lang w:val="en-GB"/>
        </w:rPr>
        <w:t>H</w:t>
      </w:r>
      <w:r w:rsidRPr="00C54B5B">
        <w:rPr>
          <w:lang w:val="en-GB"/>
        </w:rPr>
        <w:t xml:space="preserve">ousehold sector, </w:t>
      </w:r>
      <w:r>
        <w:rPr>
          <w:lang w:val="en-GB"/>
        </w:rPr>
        <w:t>N</w:t>
      </w:r>
      <w:r w:rsidRPr="00C54B5B">
        <w:rPr>
          <w:lang w:val="en-GB"/>
        </w:rPr>
        <w:t xml:space="preserve">on-financial sector, and NPISH. </w:t>
      </w:r>
      <w:r>
        <w:rPr>
          <w:lang w:val="en-GB"/>
        </w:rPr>
        <w:t>D</w:t>
      </w:r>
      <w:r w:rsidRPr="00C54B5B">
        <w:rPr>
          <w:lang w:val="en-GB"/>
        </w:rPr>
        <w:t xml:space="preserve">ata </w:t>
      </w:r>
      <w:r>
        <w:rPr>
          <w:lang w:val="en-GB"/>
        </w:rPr>
        <w:t>are</w:t>
      </w:r>
      <w:r w:rsidRPr="00C54B5B">
        <w:rPr>
          <w:lang w:val="en-GB"/>
        </w:rPr>
        <w:t xml:space="preserve"> classified to the appropriate institutional sector according to the international and consultants</w:t>
      </w:r>
      <w:r>
        <w:rPr>
          <w:lang w:val="en-GB"/>
        </w:rPr>
        <w:t>'</w:t>
      </w:r>
      <w:r w:rsidRPr="00C54B5B">
        <w:rPr>
          <w:lang w:val="en-GB"/>
        </w:rPr>
        <w:t xml:space="preserve"> recommendations in this regard.</w:t>
      </w:r>
    </w:p>
    <w:p w:rsidR="00AC1A77" w:rsidRDefault="00AC1A77" w:rsidP="00AC1A77">
      <w:pPr>
        <w:bidi w:val="0"/>
        <w:jc w:val="lowKashida"/>
      </w:pPr>
    </w:p>
    <w:p w:rsidR="00AC1A77" w:rsidRDefault="00AC1A77" w:rsidP="00AC1A77">
      <w:pPr>
        <w:bidi w:val="0"/>
        <w:jc w:val="lowKashida"/>
        <w:rPr>
          <w:lang w:val="en-GB"/>
        </w:rPr>
      </w:pPr>
      <w:r w:rsidRPr="00C54B5B">
        <w:rPr>
          <w:lang w:val="en-GB"/>
        </w:rPr>
        <w:t xml:space="preserve">The methodology of classifying establishments to the institutional sector is based on </w:t>
      </w:r>
      <w:r>
        <w:rPr>
          <w:lang w:val="en-GB"/>
        </w:rPr>
        <w:t xml:space="preserve">the </w:t>
      </w:r>
      <w:r w:rsidRPr="00C54B5B">
        <w:rPr>
          <w:lang w:val="en-GB"/>
        </w:rPr>
        <w:t xml:space="preserve">establishments census and the annual economic surveys. Several </w:t>
      </w:r>
      <w:r>
        <w:rPr>
          <w:lang w:val="en-GB"/>
        </w:rPr>
        <w:t>variables</w:t>
      </w:r>
      <w:r w:rsidRPr="00C54B5B">
        <w:rPr>
          <w:lang w:val="en-GB"/>
        </w:rPr>
        <w:t xml:space="preserve"> for the institutional unit were taken into account, </w:t>
      </w:r>
      <w:r w:rsidRPr="00A512DF">
        <w:rPr>
          <w:lang w:val="en-GB"/>
        </w:rPr>
        <w:t xml:space="preserve">mainly legal entities, economic organization </w:t>
      </w:r>
      <w:r>
        <w:rPr>
          <w:lang w:val="en-GB"/>
        </w:rPr>
        <w:t>,</w:t>
      </w:r>
      <w:r w:rsidRPr="00A512DF">
        <w:rPr>
          <w:lang w:val="en-GB"/>
        </w:rPr>
        <w:t>annual budgets, and numbe</w:t>
      </w:r>
      <w:r>
        <w:rPr>
          <w:lang w:val="en-GB"/>
        </w:rPr>
        <w:t>r of employee, as illustrated below:</w:t>
      </w:r>
    </w:p>
    <w:p w:rsidR="00AC1A77" w:rsidRPr="000C2A54" w:rsidRDefault="00AC1A77" w:rsidP="000C2A54">
      <w:pPr>
        <w:bidi w:val="0"/>
        <w:ind w:left="142"/>
        <w:jc w:val="both"/>
        <w:rPr>
          <w:sz w:val="14"/>
          <w:szCs w:val="14"/>
        </w:rPr>
      </w:pPr>
    </w:p>
    <w:p w:rsidR="00AC1A77" w:rsidRPr="000C2A54" w:rsidRDefault="00AC1A77" w:rsidP="000C2A54">
      <w:pPr>
        <w:pStyle w:val="ListParagraph"/>
        <w:numPr>
          <w:ilvl w:val="0"/>
          <w:numId w:val="23"/>
        </w:numPr>
        <w:bidi w:val="0"/>
        <w:ind w:left="426" w:hanging="284"/>
        <w:jc w:val="both"/>
      </w:pPr>
      <w:r w:rsidRPr="000C2A54">
        <w:t>All enterprises and establishments in census and in the sample of annual economic surveys are classified, so that each enterprise follows only one sector of: (Non-financial sector, household sector, non-profit sector and household service). As a result, new variable that represents the institutional sector is created in the establishments census frame.</w:t>
      </w:r>
    </w:p>
    <w:p w:rsidR="00AC1A77" w:rsidRPr="000C2A54" w:rsidRDefault="00AC1A77" w:rsidP="000C2A54">
      <w:pPr>
        <w:pStyle w:val="ListParagraph"/>
        <w:numPr>
          <w:ilvl w:val="0"/>
          <w:numId w:val="23"/>
        </w:numPr>
        <w:bidi w:val="0"/>
        <w:ind w:left="426" w:hanging="284"/>
        <w:jc w:val="both"/>
      </w:pPr>
      <w:r w:rsidRPr="000C2A54">
        <w:t>The establishments census database provides information about the number of employees and the number of enterprises by sector and activity, but it lacks any information about  producti</w:t>
      </w:r>
      <w:r w:rsidR="00413833" w:rsidRPr="000C2A54">
        <w:t>on</w:t>
      </w:r>
      <w:r w:rsidRPr="000C2A54">
        <w:t xml:space="preserve"> or value added. </w:t>
      </w:r>
    </w:p>
    <w:p w:rsidR="00AC1A77" w:rsidRDefault="00AC1A77" w:rsidP="000C2A54">
      <w:pPr>
        <w:pStyle w:val="ListParagraph"/>
        <w:numPr>
          <w:ilvl w:val="0"/>
          <w:numId w:val="23"/>
        </w:numPr>
        <w:bidi w:val="0"/>
        <w:ind w:left="426" w:hanging="284"/>
        <w:jc w:val="both"/>
        <w:rPr>
          <w:lang w:val="en-GB"/>
        </w:rPr>
      </w:pPr>
      <w:r w:rsidRPr="000C2A54">
        <w:t xml:space="preserve">From the annual economic surveys, labour productivity and the intermediate consumption by employee are estimated by sector, economic activity and region, then a variable representing the weight of each activity in each sector is derived in order to   redistribute the results of annual </w:t>
      </w:r>
      <w:r w:rsidR="00413833" w:rsidRPr="000C2A54">
        <w:t>n</w:t>
      </w:r>
      <w:r w:rsidRPr="000C2A54">
        <w:t xml:space="preserve">ational </w:t>
      </w:r>
      <w:r w:rsidR="00413833" w:rsidRPr="000C2A54">
        <w:t>a</w:t>
      </w:r>
      <w:r w:rsidRPr="000C2A54">
        <w:t>ccounts</w:t>
      </w:r>
      <w:r>
        <w:rPr>
          <w:lang w:val="en-GB"/>
        </w:rPr>
        <w:t xml:space="preserve"> data among the institutional sectors. </w:t>
      </w:r>
    </w:p>
    <w:p w:rsidR="00AC1A77" w:rsidRDefault="00AC1A77" w:rsidP="00AC1A77">
      <w:pPr>
        <w:rPr>
          <w:rFonts w:ascii="Calibri" w:hAnsi="Calibri"/>
          <w:sz w:val="22"/>
          <w:szCs w:val="22"/>
          <w:lang w:val="en-GB"/>
        </w:rPr>
      </w:pPr>
    </w:p>
    <w:p w:rsidR="00AC1A77" w:rsidRDefault="00AC1A77" w:rsidP="00AC1A77">
      <w:pPr>
        <w:rPr>
          <w:rFonts w:ascii="Calibri" w:hAnsi="Calibri"/>
          <w:sz w:val="22"/>
          <w:szCs w:val="22"/>
        </w:rPr>
      </w:pPr>
    </w:p>
    <w:p w:rsidR="00AC1A77" w:rsidRPr="00D62BB7" w:rsidRDefault="00AC1A77" w:rsidP="00AC1A77">
      <w:pPr>
        <w:bidi w:val="0"/>
        <w:jc w:val="lowKashida"/>
      </w:pPr>
    </w:p>
    <w:p w:rsidR="00AC1A77" w:rsidRDefault="00AC1A77" w:rsidP="00AC1A77">
      <w:pPr>
        <w:bidi w:val="0"/>
        <w:jc w:val="lowKashida"/>
        <w:rPr>
          <w:lang w:val="en-GB"/>
        </w:rPr>
      </w:pPr>
    </w:p>
    <w:p w:rsidR="00AC1A77" w:rsidRDefault="00AC1A77" w:rsidP="00AC1A77">
      <w:pPr>
        <w:bidi w:val="0"/>
      </w:pPr>
      <w:r>
        <w:br w:type="page"/>
      </w:r>
    </w:p>
    <w:p w:rsidR="00AC1A77" w:rsidRPr="00D74CCB" w:rsidRDefault="00AC1A77" w:rsidP="00AC1A77">
      <w:pPr>
        <w:bidi w:val="0"/>
        <w:jc w:val="center"/>
        <w:rPr>
          <w:b/>
          <w:bCs/>
          <w:kern w:val="28"/>
          <w:sz w:val="32"/>
          <w:szCs w:val="38"/>
          <w:rtl/>
          <w:lang w:eastAsia="en-US"/>
        </w:rPr>
      </w:pPr>
      <w:r w:rsidRPr="00AA7F05">
        <w:lastRenderedPageBreak/>
        <w:t xml:space="preserve">Chapter </w:t>
      </w:r>
      <w:r>
        <w:t>Four</w:t>
      </w:r>
    </w:p>
    <w:p w:rsidR="00AC1A77" w:rsidRPr="003057FF" w:rsidRDefault="00AC1A77" w:rsidP="00AC1A77">
      <w:pPr>
        <w:bidi w:val="0"/>
        <w:jc w:val="center"/>
        <w:rPr>
          <w:szCs w:val="28"/>
        </w:rPr>
      </w:pPr>
    </w:p>
    <w:p w:rsidR="00AC1A77" w:rsidRDefault="00AC1A77" w:rsidP="00AC1A77">
      <w:pPr>
        <w:pStyle w:val="Heading2"/>
      </w:pPr>
      <w:r w:rsidRPr="00AA7F05">
        <w:t>Quality</w:t>
      </w:r>
    </w:p>
    <w:p w:rsidR="00AC1A77" w:rsidRPr="00E612EF" w:rsidRDefault="00AC1A77" w:rsidP="00AC1A77">
      <w:pPr>
        <w:jc w:val="both"/>
      </w:pPr>
    </w:p>
    <w:p w:rsidR="00AC1A77" w:rsidRDefault="00AC1A77" w:rsidP="00AC1A77">
      <w:pPr>
        <w:bidi w:val="0"/>
        <w:jc w:val="both"/>
      </w:pPr>
      <w:r w:rsidRPr="00E612EF">
        <w:t xml:space="preserve">This chapter </w:t>
      </w:r>
      <w:r>
        <w:t>addresses</w:t>
      </w:r>
      <w:r w:rsidRPr="00E612EF">
        <w:t xml:space="preserve"> the quality of National Accounts </w:t>
      </w:r>
      <w:r>
        <w:t>in addition</w:t>
      </w:r>
      <w:r w:rsidRPr="00E612EF">
        <w:t xml:space="preserve"> </w:t>
      </w:r>
      <w:r>
        <w:t xml:space="preserve">to </w:t>
      </w:r>
      <w:r w:rsidRPr="00E612EF">
        <w:t>coverage</w:t>
      </w:r>
      <w:r>
        <w:t xml:space="preserve"> and inclusiveness</w:t>
      </w:r>
      <w:r w:rsidRPr="00E612EF">
        <w:t xml:space="preserve"> of the various data sources used in preparation.</w:t>
      </w:r>
    </w:p>
    <w:p w:rsidR="00AC1A77" w:rsidRPr="00E612EF" w:rsidRDefault="00AC1A77" w:rsidP="00AC1A77">
      <w:pPr>
        <w:bidi w:val="0"/>
        <w:jc w:val="both"/>
      </w:pPr>
    </w:p>
    <w:p w:rsidR="00AC1A77" w:rsidRPr="00696D7F" w:rsidRDefault="00AC1A77" w:rsidP="00AC1A77">
      <w:pPr>
        <w:pStyle w:val="Heading2"/>
        <w:jc w:val="both"/>
        <w:rPr>
          <w:sz w:val="24"/>
          <w:szCs w:val="24"/>
        </w:rPr>
      </w:pPr>
      <w:r>
        <w:rPr>
          <w:sz w:val="24"/>
          <w:szCs w:val="24"/>
        </w:rPr>
        <w:t>4</w:t>
      </w:r>
      <w:r w:rsidRPr="00696D7F">
        <w:rPr>
          <w:sz w:val="24"/>
          <w:szCs w:val="24"/>
        </w:rPr>
        <w:t>.</w:t>
      </w:r>
      <w:r>
        <w:rPr>
          <w:sz w:val="24"/>
          <w:szCs w:val="24"/>
        </w:rPr>
        <w:t>1</w:t>
      </w:r>
      <w:r w:rsidRPr="00696D7F">
        <w:rPr>
          <w:sz w:val="24"/>
          <w:szCs w:val="24"/>
        </w:rPr>
        <w:t xml:space="preserve"> </w:t>
      </w:r>
      <w:r>
        <w:rPr>
          <w:sz w:val="24"/>
          <w:szCs w:val="24"/>
        </w:rPr>
        <w:t>Accuracy</w:t>
      </w:r>
    </w:p>
    <w:p w:rsidR="00AC1A77" w:rsidRDefault="00AC1A77" w:rsidP="00AC1A77">
      <w:pPr>
        <w:bidi w:val="0"/>
        <w:jc w:val="both"/>
      </w:pPr>
      <w:r w:rsidRPr="003F620C">
        <w:t>National accounts prepared in Palestine</w:t>
      </w:r>
      <w:r>
        <w:t xml:space="preserve"> are</w:t>
      </w:r>
      <w:r w:rsidRPr="003F620C">
        <w:t xml:space="preserve"> based on a set of statistical sources (surveys and administrative records) and scientific methodologies that are reasonably (and sometimes distin</w:t>
      </w:r>
      <w:r>
        <w:t xml:space="preserve">ctly) reliable. Data processing is </w:t>
      </w:r>
      <w:r w:rsidRPr="003F620C">
        <w:t xml:space="preserve">automated through computerized programs, which </w:t>
      </w:r>
      <w:r>
        <w:t>minimized</w:t>
      </w:r>
      <w:r w:rsidRPr="003F620C">
        <w:t xml:space="preserve"> the probabilities of  human errors. The computerized system of National Accounts files contains a set of tests through equations to ensure that there are no errors in processing, conversion or otherwise. These procedures ensure the </w:t>
      </w:r>
      <w:r>
        <w:t>minimization</w:t>
      </w:r>
      <w:r w:rsidRPr="003F620C">
        <w:t xml:space="preserve"> of errors that may result from omission or inaccuracy when preparing data.</w:t>
      </w:r>
    </w:p>
    <w:p w:rsidR="00AC1A77" w:rsidRPr="00957164" w:rsidRDefault="00AC1A77" w:rsidP="00AC1A77">
      <w:pPr>
        <w:bidi w:val="0"/>
        <w:jc w:val="both"/>
      </w:pPr>
    </w:p>
    <w:p w:rsidR="00AC1A77" w:rsidRDefault="00AC1A77" w:rsidP="00AC1A77">
      <w:pPr>
        <w:bidi w:val="0"/>
        <w:jc w:val="both"/>
        <w:rPr>
          <w:b/>
          <w:bCs/>
        </w:rPr>
      </w:pPr>
      <w:r>
        <w:rPr>
          <w:b/>
          <w:bCs/>
        </w:rPr>
        <w:t>4.2 Comparability</w:t>
      </w:r>
    </w:p>
    <w:p w:rsidR="00AC1A77" w:rsidRPr="00414499" w:rsidRDefault="00AC1A77" w:rsidP="00AC1A77">
      <w:pPr>
        <w:bidi w:val="0"/>
        <w:jc w:val="both"/>
      </w:pPr>
      <w:r w:rsidRPr="003F620C">
        <w:t xml:space="preserve">The tables of this report represent GDP at current and constant prices and comparisons between </w:t>
      </w:r>
      <w:r>
        <w:t>2004-2018</w:t>
      </w:r>
      <w:r w:rsidRPr="003F620C">
        <w:t xml:space="preserve"> data, as well as indicators of gross national income, gross national disposable income and per capita. In contrast, the national institutional accounts data was </w:t>
      </w:r>
      <w:r>
        <w:t>presented</w:t>
      </w:r>
      <w:r w:rsidRPr="003F620C">
        <w:t xml:space="preserve"> at current prices for the years </w:t>
      </w:r>
      <w:r>
        <w:t>2004-2018</w:t>
      </w:r>
      <w:r w:rsidRPr="003F620C">
        <w:t xml:space="preserve"> based on the </w:t>
      </w:r>
      <w:r>
        <w:t>2017</w:t>
      </w:r>
      <w:r w:rsidRPr="003F620C">
        <w:t xml:space="preserve"> establishment census classification. The weights will be updated when the Population, Housing and Establishment</w:t>
      </w:r>
      <w:r>
        <w:t>s</w:t>
      </w:r>
      <w:r w:rsidRPr="003F620C">
        <w:t xml:space="preserve"> Census 2017 is issued.</w:t>
      </w:r>
    </w:p>
    <w:p w:rsidR="00AC1A77" w:rsidRDefault="00AC1A77" w:rsidP="00AC1A77">
      <w:pPr>
        <w:bidi w:val="0"/>
        <w:jc w:val="both"/>
        <w:rPr>
          <w:b/>
          <w:bCs/>
        </w:rPr>
      </w:pPr>
    </w:p>
    <w:p w:rsidR="00AC1A77" w:rsidRDefault="00AC1A77" w:rsidP="00AC1A77">
      <w:pPr>
        <w:bidi w:val="0"/>
        <w:jc w:val="both"/>
        <w:rPr>
          <w:b/>
          <w:bCs/>
        </w:rPr>
      </w:pPr>
      <w:r>
        <w:rPr>
          <w:b/>
          <w:bCs/>
        </w:rPr>
        <w:t xml:space="preserve">4.3 Data Quality </w:t>
      </w:r>
    </w:p>
    <w:p w:rsidR="00AC1A77" w:rsidRPr="003F620C" w:rsidRDefault="00AC1A77" w:rsidP="00AC1A77">
      <w:pPr>
        <w:bidi w:val="0"/>
        <w:jc w:val="both"/>
      </w:pPr>
      <w:r w:rsidRPr="003F620C">
        <w:t>Since the beginning of the preparation of the National Accounts data in 1994, PCBS has been working intensively to expand coverage and inclusiveness through the following steps:</w:t>
      </w:r>
    </w:p>
    <w:p w:rsidR="00AC1A77" w:rsidRDefault="00AC1A77" w:rsidP="00AC1A77">
      <w:pPr>
        <w:numPr>
          <w:ilvl w:val="0"/>
          <w:numId w:val="8"/>
        </w:numPr>
        <w:bidi w:val="0"/>
        <w:ind w:right="0"/>
        <w:jc w:val="both"/>
      </w:pPr>
      <w:r w:rsidRPr="003F620C">
        <w:t>Compilation of annual economic surveys covering all activities except agriculture.</w:t>
      </w:r>
    </w:p>
    <w:p w:rsidR="00AC1A77" w:rsidRPr="003F620C" w:rsidRDefault="00AC1A77" w:rsidP="00AC1A77">
      <w:pPr>
        <w:numPr>
          <w:ilvl w:val="0"/>
          <w:numId w:val="8"/>
        </w:numPr>
        <w:bidi w:val="0"/>
        <w:ind w:right="0"/>
        <w:jc w:val="both"/>
      </w:pPr>
      <w:r>
        <w:t>Start the first steps towards</w:t>
      </w:r>
      <w:r>
        <w:rPr>
          <w:rFonts w:hint="cs"/>
          <w:rtl/>
        </w:rPr>
        <w:t xml:space="preserve"> </w:t>
      </w:r>
      <w:r>
        <w:t xml:space="preserve"> compiling the business register which will provide a database contributing to the updates of the establishments data.</w:t>
      </w:r>
    </w:p>
    <w:p w:rsidR="00AC1A77" w:rsidRDefault="00AC1A77" w:rsidP="00AC1A77">
      <w:pPr>
        <w:numPr>
          <w:ilvl w:val="0"/>
          <w:numId w:val="8"/>
        </w:numPr>
        <w:bidi w:val="0"/>
        <w:ind w:right="0"/>
        <w:jc w:val="both"/>
      </w:pPr>
      <w:r w:rsidRPr="003F620C">
        <w:t>Compilation of economic survey covering the out-of-establishment activity in transportation.</w:t>
      </w:r>
    </w:p>
    <w:p w:rsidR="00AC1A77" w:rsidRDefault="00AC1A77" w:rsidP="00AC1A77">
      <w:pPr>
        <w:numPr>
          <w:ilvl w:val="0"/>
          <w:numId w:val="8"/>
        </w:numPr>
        <w:bidi w:val="0"/>
        <w:ind w:right="0"/>
        <w:jc w:val="both"/>
      </w:pPr>
      <w:r w:rsidRPr="003F620C">
        <w:t>Compilation of the price deflators necessary to calculate constant prices data</w:t>
      </w:r>
      <w:r>
        <w:t>,</w:t>
      </w:r>
      <w:r w:rsidRPr="003F620C">
        <w:t xml:space="preserve"> </w:t>
      </w:r>
      <w:r>
        <w:t>and updating the base year when better coverage is available.</w:t>
      </w:r>
    </w:p>
    <w:p w:rsidR="00AC1A77" w:rsidRPr="003F620C" w:rsidRDefault="00AC1A77" w:rsidP="00AC1A77">
      <w:pPr>
        <w:numPr>
          <w:ilvl w:val="0"/>
          <w:numId w:val="8"/>
        </w:numPr>
        <w:bidi w:val="0"/>
        <w:ind w:right="0"/>
        <w:jc w:val="both"/>
      </w:pPr>
      <w:r w:rsidRPr="003F620C">
        <w:t>Improv</w:t>
      </w:r>
      <w:r>
        <w:t>ing</w:t>
      </w:r>
      <w:r w:rsidRPr="003F620C">
        <w:t xml:space="preserve"> data coverage of government data, especially relating to customs duties and VAT on an accrual basis.</w:t>
      </w:r>
    </w:p>
    <w:p w:rsidR="00AC1A77" w:rsidRPr="003F620C" w:rsidRDefault="00AC1A77" w:rsidP="00AC1A77">
      <w:pPr>
        <w:numPr>
          <w:ilvl w:val="0"/>
          <w:numId w:val="8"/>
        </w:numPr>
        <w:bidi w:val="0"/>
        <w:ind w:right="0"/>
        <w:jc w:val="both"/>
      </w:pPr>
      <w:r w:rsidRPr="003F620C">
        <w:t xml:space="preserve">Use </w:t>
      </w:r>
      <w:r>
        <w:t>the estimates which are based on the</w:t>
      </w:r>
      <w:r w:rsidRPr="003F620C">
        <w:t xml:space="preserve"> Population, Housing and Establishments Census </w:t>
      </w:r>
      <w:r>
        <w:t>2017</w:t>
      </w:r>
      <w:r w:rsidRPr="003F620C">
        <w:t xml:space="preserve"> to calculate per capita indicators.</w:t>
      </w:r>
    </w:p>
    <w:p w:rsidR="00AC1A77" w:rsidRPr="003F620C" w:rsidRDefault="00AC1A77" w:rsidP="00AC1A77">
      <w:pPr>
        <w:numPr>
          <w:ilvl w:val="0"/>
          <w:numId w:val="8"/>
        </w:numPr>
        <w:bidi w:val="0"/>
        <w:ind w:right="0"/>
        <w:jc w:val="both"/>
      </w:pPr>
      <w:r w:rsidRPr="003F620C">
        <w:t>Ensuring the consistency of data after updating from different sources and comparing the data structure (percentage of inputs to outputs, percentage of employee compensation to the value added, the logic for the growth rates in production and value added).</w:t>
      </w:r>
    </w:p>
    <w:p w:rsidR="00AC1A77" w:rsidRPr="003F620C" w:rsidRDefault="00AC1A77" w:rsidP="00AC1A77">
      <w:pPr>
        <w:numPr>
          <w:ilvl w:val="0"/>
          <w:numId w:val="8"/>
        </w:numPr>
        <w:bidi w:val="0"/>
        <w:ind w:right="0"/>
        <w:jc w:val="both"/>
      </w:pPr>
      <w:r w:rsidRPr="003F620C">
        <w:t xml:space="preserve">Use of adjustments of supply and </w:t>
      </w:r>
      <w:r>
        <w:t>use</w:t>
      </w:r>
      <w:r w:rsidRPr="003F620C">
        <w:t xml:space="preserve"> tables for </w:t>
      </w:r>
      <w:r>
        <w:t>2017</w:t>
      </w:r>
      <w:r w:rsidRPr="003F620C">
        <w:t xml:space="preserve"> to compare data consistency.</w:t>
      </w:r>
    </w:p>
    <w:p w:rsidR="00AC1A77" w:rsidRDefault="00AC1A77" w:rsidP="00AC1A77">
      <w:pPr>
        <w:bidi w:val="0"/>
        <w:jc w:val="both"/>
        <w:rPr>
          <w:b/>
          <w:bCs/>
        </w:rPr>
      </w:pPr>
    </w:p>
    <w:p w:rsidR="00AC1A77" w:rsidRDefault="00AC1A77" w:rsidP="00AC1A77">
      <w:pPr>
        <w:bidi w:val="0"/>
        <w:jc w:val="both"/>
        <w:rPr>
          <w:b/>
          <w:bCs/>
        </w:rPr>
      </w:pPr>
      <w:r>
        <w:rPr>
          <w:b/>
          <w:bCs/>
        </w:rPr>
        <w:t>4.4</w:t>
      </w:r>
      <w:r w:rsidRPr="00AA7F05">
        <w:rPr>
          <w:b/>
          <w:bCs/>
        </w:rPr>
        <w:t xml:space="preserve"> </w:t>
      </w:r>
      <w:r>
        <w:rPr>
          <w:b/>
          <w:bCs/>
        </w:rPr>
        <w:t>Technical Comments</w:t>
      </w:r>
    </w:p>
    <w:p w:rsidR="00AC1A77" w:rsidRPr="009C105D" w:rsidRDefault="00AC1A77" w:rsidP="00AC1A77">
      <w:pPr>
        <w:bidi w:val="0"/>
        <w:jc w:val="both"/>
      </w:pPr>
      <w:r w:rsidRPr="009C105D">
        <w:t xml:space="preserve">However, there are still some challenges in the development of coverage and </w:t>
      </w:r>
      <w:r>
        <w:t>inclusiveness of</w:t>
      </w:r>
      <w:r w:rsidRPr="009C105D">
        <w:t xml:space="preserve"> data, which are presented in the following main points:</w:t>
      </w:r>
    </w:p>
    <w:p w:rsidR="00AC1A77" w:rsidRPr="009C105D" w:rsidRDefault="00AC1A77" w:rsidP="00AC1A77">
      <w:pPr>
        <w:bidi w:val="0"/>
        <w:jc w:val="both"/>
        <w:rPr>
          <w:rtl/>
        </w:rPr>
      </w:pPr>
    </w:p>
    <w:p w:rsidR="00AC1A77" w:rsidRPr="009C105D" w:rsidRDefault="00AC1A77" w:rsidP="00AC1A77">
      <w:pPr>
        <w:bidi w:val="0"/>
        <w:jc w:val="both"/>
        <w:rPr>
          <w:b/>
          <w:bCs/>
        </w:rPr>
      </w:pPr>
      <w:r w:rsidRPr="009C105D">
        <w:rPr>
          <w:b/>
          <w:bCs/>
        </w:rPr>
        <w:t>First: Updating the establishments register</w:t>
      </w:r>
    </w:p>
    <w:p w:rsidR="00AC1A77" w:rsidRDefault="00AC1A77" w:rsidP="00AC1A77">
      <w:pPr>
        <w:bidi w:val="0"/>
        <w:jc w:val="both"/>
      </w:pPr>
      <w:r w:rsidRPr="009C105D">
        <w:t>The establishments</w:t>
      </w:r>
      <w:r>
        <w:t>’</w:t>
      </w:r>
      <w:r w:rsidRPr="009C105D">
        <w:t xml:space="preserve"> register is based on the census of Population, Housing </w:t>
      </w:r>
      <w:r>
        <w:t>a</w:t>
      </w:r>
      <w:r w:rsidRPr="009C105D">
        <w:t>nd Establishments</w:t>
      </w:r>
      <w:r>
        <w:t xml:space="preserve"> Census</w:t>
      </w:r>
      <w:r w:rsidRPr="009C105D">
        <w:t xml:space="preserve"> implemented during </w:t>
      </w:r>
      <w:r>
        <w:t>2017.</w:t>
      </w:r>
      <w:r w:rsidRPr="009C105D">
        <w:t xml:space="preserve"> However, the reality </w:t>
      </w:r>
      <w:r>
        <w:t xml:space="preserve">and nature </w:t>
      </w:r>
      <w:r w:rsidRPr="009C105D">
        <w:t xml:space="preserve">of the </w:t>
      </w:r>
      <w:r w:rsidRPr="009C105D">
        <w:lastRenderedPageBreak/>
        <w:t xml:space="preserve">Palestinian establishments </w:t>
      </w:r>
      <w:r>
        <w:t>complicate the</w:t>
      </w:r>
      <w:r w:rsidRPr="009C105D">
        <w:t xml:space="preserve"> </w:t>
      </w:r>
      <w:r>
        <w:t>updating</w:t>
      </w:r>
      <w:r w:rsidRPr="009C105D">
        <w:t xml:space="preserve"> process. </w:t>
      </w:r>
      <w:r>
        <w:t xml:space="preserve">Most establishments are small-sized, and numerous new establishments are opened while many others quickly close doors. </w:t>
      </w:r>
      <w:r w:rsidRPr="009C105D">
        <w:t>Insufficient detail</w:t>
      </w:r>
      <w:r>
        <w:t>s</w:t>
      </w:r>
      <w:r w:rsidRPr="009C105D">
        <w:t xml:space="preserve"> in government administrative records make this </w:t>
      </w:r>
      <w:r>
        <w:t>updating</w:t>
      </w:r>
      <w:r w:rsidRPr="009C105D">
        <w:t xml:space="preserve"> process difficult and complex</w:t>
      </w:r>
      <w:r>
        <w:t>,</w:t>
      </w:r>
      <w:r w:rsidRPr="009C105D">
        <w:t xml:space="preserve"> and requires a lot of money and effort.</w:t>
      </w:r>
    </w:p>
    <w:p w:rsidR="00AC1A77" w:rsidRPr="009C105D" w:rsidRDefault="00AC1A77" w:rsidP="00AC1A77">
      <w:pPr>
        <w:bidi w:val="0"/>
        <w:jc w:val="both"/>
        <w:rPr>
          <w:rtl/>
        </w:rPr>
      </w:pPr>
    </w:p>
    <w:p w:rsidR="00AC1A77" w:rsidRPr="009C105D" w:rsidRDefault="00AC1A77" w:rsidP="00AC1A77">
      <w:pPr>
        <w:bidi w:val="0"/>
        <w:jc w:val="both"/>
        <w:rPr>
          <w:b/>
          <w:bCs/>
        </w:rPr>
      </w:pPr>
      <w:r w:rsidRPr="009C105D">
        <w:rPr>
          <w:b/>
          <w:bCs/>
        </w:rPr>
        <w:t>Second: The informal sector</w:t>
      </w:r>
    </w:p>
    <w:p w:rsidR="00AC1A77" w:rsidRPr="009C105D" w:rsidRDefault="00AC1A77" w:rsidP="00AC1A77">
      <w:pPr>
        <w:bidi w:val="0"/>
        <w:jc w:val="both"/>
      </w:pPr>
      <w:r>
        <w:t>Within the efforts</w:t>
      </w:r>
      <w:r w:rsidRPr="009C105D">
        <w:t xml:space="preserve"> to cover</w:t>
      </w:r>
      <w:r>
        <w:t xml:space="preserve"> informal activity in</w:t>
      </w:r>
      <w:r w:rsidRPr="009C105D">
        <w:t xml:space="preserve"> both construction and transport activities by carrying out </w:t>
      </w:r>
      <w:r>
        <w:t xml:space="preserve">special </w:t>
      </w:r>
      <w:r w:rsidRPr="009C105D">
        <w:t xml:space="preserve">surveys, many informal sector activities remain difficult to </w:t>
      </w:r>
      <w:r>
        <w:t>capture</w:t>
      </w:r>
      <w:r w:rsidRPr="009C105D">
        <w:t xml:space="preserve">, such as internal trade, services and some manufacturing activities. The </w:t>
      </w:r>
      <w:r>
        <w:t>compilation</w:t>
      </w:r>
      <w:r w:rsidRPr="009C105D">
        <w:t xml:space="preserve"> of supply and use tables may help to </w:t>
      </w:r>
      <w:r>
        <w:t>bridge</w:t>
      </w:r>
      <w:r w:rsidRPr="009C105D">
        <w:t xml:space="preserve"> some gaps in this area, but they remain based on </w:t>
      </w:r>
      <w:r>
        <w:t>estimates</w:t>
      </w:r>
      <w:r w:rsidRPr="009C105D">
        <w:t xml:space="preserve"> and desktop modification rather than on field realities.</w:t>
      </w:r>
    </w:p>
    <w:p w:rsidR="00AC1A77" w:rsidRPr="009C105D" w:rsidRDefault="00AC1A77" w:rsidP="00AC1A77">
      <w:pPr>
        <w:bidi w:val="0"/>
        <w:jc w:val="both"/>
        <w:rPr>
          <w:rtl/>
        </w:rPr>
      </w:pPr>
    </w:p>
    <w:p w:rsidR="00AC1A77" w:rsidRPr="009C105D" w:rsidRDefault="00AC1A77" w:rsidP="00AC1A77">
      <w:pPr>
        <w:bidi w:val="0"/>
        <w:jc w:val="both"/>
      </w:pPr>
      <w:r w:rsidRPr="009C105D">
        <w:t>The</w:t>
      </w:r>
      <w:r>
        <w:t xml:space="preserve"> Palestinian </w:t>
      </w:r>
      <w:r w:rsidRPr="009C105D">
        <w:t>Expenditure and Consumption Survey (</w:t>
      </w:r>
      <w:r>
        <w:t>PECS</w:t>
      </w:r>
      <w:r w:rsidRPr="009C105D">
        <w:t xml:space="preserve">) provides data on household </w:t>
      </w:r>
      <w:r>
        <w:t>production for own final use</w:t>
      </w:r>
      <w:r w:rsidRPr="009C105D">
        <w:t xml:space="preserve"> of goods, but does not provide data on market production. It is believed that informal sector coverage of activities other than construction and transport can be developed to better cover local production and value added.</w:t>
      </w:r>
    </w:p>
    <w:p w:rsidR="00AC1A77" w:rsidRPr="009C105D" w:rsidRDefault="00AC1A77" w:rsidP="00AC1A77">
      <w:pPr>
        <w:bidi w:val="0"/>
        <w:jc w:val="both"/>
        <w:rPr>
          <w:rtl/>
        </w:rPr>
      </w:pPr>
    </w:p>
    <w:p w:rsidR="00AC1A77" w:rsidRPr="009C105D" w:rsidRDefault="00AC1A77" w:rsidP="00AC1A77">
      <w:pPr>
        <w:bidi w:val="0"/>
        <w:jc w:val="both"/>
        <w:rPr>
          <w:b/>
          <w:bCs/>
        </w:rPr>
      </w:pPr>
      <w:r w:rsidRPr="009C105D">
        <w:rPr>
          <w:b/>
          <w:bCs/>
        </w:rPr>
        <w:t>Third: Foreign Trade</w:t>
      </w:r>
    </w:p>
    <w:p w:rsidR="00AC1A77" w:rsidRPr="009C105D" w:rsidRDefault="00AC1A77" w:rsidP="00AC1A77">
      <w:pPr>
        <w:bidi w:val="0"/>
        <w:jc w:val="both"/>
      </w:pPr>
      <w:r w:rsidRPr="009C105D">
        <w:t xml:space="preserve">The problem of </w:t>
      </w:r>
      <w:r>
        <w:t>under coverage</w:t>
      </w:r>
      <w:r w:rsidRPr="009C105D">
        <w:t xml:space="preserve"> in foreign trade statistics is related to the political and geographic reality of Palestine, which does not allow monitoring all commodity flows between Palestine and the rest of the world (especially Israel). The adjustment of foreign trade data is used to estimate the degree of </w:t>
      </w:r>
      <w:r>
        <w:t>under-</w:t>
      </w:r>
      <w:r w:rsidRPr="009C105D">
        <w:t>coverage, but it is always discretionary and based on assumptions.</w:t>
      </w:r>
    </w:p>
    <w:p w:rsidR="00AC1A77" w:rsidRPr="009C105D" w:rsidRDefault="00AC1A77" w:rsidP="00AC1A77">
      <w:pPr>
        <w:bidi w:val="0"/>
        <w:jc w:val="both"/>
        <w:rPr>
          <w:rtl/>
        </w:rPr>
      </w:pPr>
    </w:p>
    <w:p w:rsidR="00AC1A77" w:rsidRPr="009C105D" w:rsidRDefault="00AC1A77" w:rsidP="00AC1A77">
      <w:pPr>
        <w:bidi w:val="0"/>
        <w:jc w:val="both"/>
        <w:rPr>
          <w:b/>
          <w:bCs/>
        </w:rPr>
      </w:pPr>
      <w:r w:rsidRPr="009C105D">
        <w:rPr>
          <w:b/>
          <w:bCs/>
        </w:rPr>
        <w:t>Fourth: Agricultural Statistics</w:t>
      </w:r>
    </w:p>
    <w:p w:rsidR="00AC1A77" w:rsidRPr="009C105D" w:rsidRDefault="00AC1A77" w:rsidP="00AC1A77">
      <w:pPr>
        <w:bidi w:val="0"/>
        <w:jc w:val="both"/>
      </w:pPr>
      <w:r w:rsidRPr="002B50A7">
        <w:t>The collected data cover</w:t>
      </w:r>
      <w:r>
        <w:t>s</w:t>
      </w:r>
      <w:r w:rsidRPr="002B50A7">
        <w:t xml:space="preserve"> only the quantities of agricultural production, and do not provide any </w:t>
      </w:r>
      <w:r>
        <w:t>data</w:t>
      </w:r>
      <w:r w:rsidRPr="002B50A7">
        <w:t xml:space="preserve"> </w:t>
      </w:r>
      <w:r>
        <w:t>on capital formation, stocks or</w:t>
      </w:r>
      <w:r w:rsidRPr="002B50A7">
        <w:t xml:space="preserve"> compensation</w:t>
      </w:r>
      <w:r>
        <w:t xml:space="preserve"> of employees</w:t>
      </w:r>
      <w:r w:rsidRPr="002B50A7">
        <w:t>.</w:t>
      </w:r>
    </w:p>
    <w:p w:rsidR="00AC1A77" w:rsidRDefault="00AC1A77" w:rsidP="00AC1A77">
      <w:pPr>
        <w:bidi w:val="0"/>
      </w:pPr>
    </w:p>
    <w:p w:rsidR="00AC1A77" w:rsidRPr="00A73607" w:rsidRDefault="00AC1A77" w:rsidP="00AC1A77">
      <w:pPr>
        <w:bidi w:val="0"/>
        <w:rPr>
          <w:b/>
          <w:bCs/>
        </w:rPr>
      </w:pPr>
      <w:r w:rsidRPr="00A73607">
        <w:rPr>
          <w:b/>
          <w:bCs/>
        </w:rPr>
        <w:t>Fifth: Net omissions and error</w:t>
      </w:r>
    </w:p>
    <w:p w:rsidR="009B22B0" w:rsidRPr="00AA7F05" w:rsidRDefault="00AC1A77" w:rsidP="00AC1A77">
      <w:pPr>
        <w:bidi w:val="0"/>
        <w:rPr>
          <w:rtl/>
        </w:rPr>
      </w:pPr>
      <w:r>
        <w:t>In addition, within the framework of international recommendations, the net omissions and errors should not exceed 5% of the gross domestic product (GDP) after reconciliation and reexamining  data sources to ensure accuracy and comprehension</w:t>
      </w:r>
    </w:p>
    <w:sectPr w:rsidR="009B22B0" w:rsidRPr="00AA7F05" w:rsidSect="00BA0E77">
      <w:headerReference w:type="default" r:id="rId16"/>
      <w:footerReference w:type="default" r:id="rId17"/>
      <w:pgSz w:w="11907" w:h="16840" w:code="9"/>
      <w:pgMar w:top="1418" w:right="1418" w:bottom="1418" w:left="1418" w:header="709" w:footer="709" w:gutter="0"/>
      <w:pgNumType w:start="17"/>
      <w:cols w:space="720"/>
      <w:bidi/>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A0D2C3" w15:done="0"/>
  <w15:commentEx w15:paraId="39980872" w15:done="0"/>
  <w15:commentEx w15:paraId="0B061FD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7C8" w:rsidRDefault="00A407C8">
      <w:r>
        <w:separator/>
      </w:r>
    </w:p>
  </w:endnote>
  <w:endnote w:type="continuationSeparator" w:id="0">
    <w:p w:rsidR="00A407C8" w:rsidRDefault="00A407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plified Arabic">
    <w:altName w:val="Times New Roman"/>
    <w:panose1 w:val="02010000000000000000"/>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A00002BF" w:usb1="68C7FCFB" w:usb2="00000010" w:usb3="00000000" w:csb0="0002009F" w:csb1="00000000"/>
  </w:font>
  <w:font w:name="Traditional Arabic">
    <w:altName w:val="Times New Roman"/>
    <w:panose1 w:val="02010000000000000000"/>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29484"/>
      <w:docPartObj>
        <w:docPartGallery w:val="Page Numbers (Bottom of Page)"/>
        <w:docPartUnique/>
      </w:docPartObj>
    </w:sdtPr>
    <w:sdtContent>
      <w:p w:rsidR="00AB0B0A" w:rsidRDefault="00AB0B0A" w:rsidP="00EE6272">
        <w:pPr>
          <w:pStyle w:val="Footer"/>
          <w:jc w:val="center"/>
        </w:pPr>
        <w:r>
          <w:t>]</w:t>
        </w:r>
        <w:fldSimple w:instr=" PAGE   \* MERGEFORMAT ">
          <w:r w:rsidR="008E35C4">
            <w:rPr>
              <w:rtl/>
            </w:rPr>
            <w:t>27</w:t>
          </w:r>
        </w:fldSimple>
        <w:r>
          <w:t>[</w:t>
        </w:r>
      </w:p>
    </w:sdtContent>
  </w:sdt>
  <w:p w:rsidR="00AB0B0A" w:rsidRDefault="00AB0B0A">
    <w:pPr>
      <w:pStyle w:val="Footer"/>
      <w:bidi w:val="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7C8" w:rsidRDefault="00A407C8">
      <w:pPr>
        <w:jc w:val="right"/>
      </w:pPr>
      <w:r>
        <w:separator/>
      </w:r>
    </w:p>
  </w:footnote>
  <w:footnote w:type="continuationSeparator" w:id="0">
    <w:p w:rsidR="00A407C8" w:rsidRDefault="00A407C8">
      <w:r>
        <w:continuationSeparator/>
      </w:r>
    </w:p>
  </w:footnote>
  <w:footnote w:id="1">
    <w:p w:rsidR="00AB0B0A" w:rsidRDefault="00AB0B0A" w:rsidP="00457EA8">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Many countries produce education, health, social, and public services data under this title according to the system of National Accounts. </w:t>
      </w:r>
    </w:p>
  </w:footnote>
  <w:footnote w:id="2">
    <w:p w:rsidR="00AB0B0A" w:rsidRDefault="00AB0B0A" w:rsidP="00457EA8">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Formerly known as Gross National Product (GNP) in SNA 1968, but the term became obsolete in SNA 2008.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B0A" w:rsidRDefault="00AB0B0A" w:rsidP="00FB30D9">
    <w:pPr>
      <w:pStyle w:val="Header"/>
      <w:bidi w:val="0"/>
      <w:rPr>
        <w:rFonts w:ascii="Arial" w:hAnsi="Arial" w:cs="Arial"/>
        <w:sz w:val="16"/>
        <w:szCs w:val="16"/>
      </w:rPr>
    </w:pPr>
    <w:r>
      <w:rPr>
        <w:rFonts w:ascii="Arial" w:hAnsi="Arial" w:cs="Arial"/>
        <w:sz w:val="16"/>
        <w:szCs w:val="16"/>
      </w:rPr>
      <w:t xml:space="preserve">PCBS: </w:t>
    </w:r>
    <w:r w:rsidRPr="00815CAB">
      <w:rPr>
        <w:rFonts w:ascii="Arial" w:hAnsi="Arial" w:cs="Arial"/>
        <w:sz w:val="16"/>
        <w:szCs w:val="16"/>
      </w:rPr>
      <w:t>National Accounts at Current and Constant Prices</w:t>
    </w:r>
    <w:r>
      <w:rPr>
        <w:rFonts w:ascii="Arial" w:hAnsi="Arial" w:cs="Arial"/>
        <w:sz w:val="16"/>
        <w:szCs w:val="16"/>
      </w:rPr>
      <w:t xml:space="preserve"> 2004</w:t>
    </w:r>
    <w:r w:rsidR="00BA0E77">
      <w:rPr>
        <w:rFonts w:ascii="Arial" w:hAnsi="Arial" w:cs="Arial"/>
        <w:sz w:val="16"/>
        <w:szCs w:val="16"/>
      </w:rPr>
      <w:t xml:space="preserve"> </w:t>
    </w:r>
    <w:r>
      <w:rPr>
        <w:rFonts w:ascii="Arial" w:hAnsi="Arial" w:cs="Arial"/>
        <w:sz w:val="16"/>
        <w:szCs w:val="16"/>
      </w:rPr>
      <w:t>-2018</w:t>
    </w:r>
  </w:p>
  <w:p w:rsidR="00AB0B0A" w:rsidRPr="00815CAB" w:rsidRDefault="00AB0B0A" w:rsidP="00FB30D9">
    <w:pPr>
      <w:pStyle w:val="Header"/>
      <w:bidi w:val="0"/>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1A41978"/>
    <w:multiLevelType w:val="hybridMultilevel"/>
    <w:tmpl w:val="6AA807B0"/>
    <w:lvl w:ilvl="0" w:tplc="9110B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10E5C"/>
    <w:multiLevelType w:val="hybridMultilevel"/>
    <w:tmpl w:val="3F6C783E"/>
    <w:lvl w:ilvl="0" w:tplc="304415BC">
      <w:start w:val="1"/>
      <w:numFmt w:val="bullet"/>
      <w:lvlText w:val="-"/>
      <w:lvlJc w:val="left"/>
      <w:pPr>
        <w:ind w:left="900" w:hanging="360"/>
      </w:pPr>
      <w:rPr>
        <w:rFonts w:ascii="Times New Roman" w:eastAsia="Times New Roman" w:hAnsi="Times New Roman" w:cs="Times New Roman" w:hint="default"/>
      </w:rPr>
    </w:lvl>
    <w:lvl w:ilvl="1" w:tplc="0409000F">
      <w:start w:val="1"/>
      <w:numFmt w:val="decimal"/>
      <w:lvlText w:val="%2."/>
      <w:lvlJc w:val="left"/>
      <w:pPr>
        <w:ind w:left="1620" w:hanging="360"/>
      </w:pPr>
      <w:rPr>
        <w:rFonts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4">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5">
    <w:nsid w:val="1339241A"/>
    <w:multiLevelType w:val="hybridMultilevel"/>
    <w:tmpl w:val="266418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8">
    <w:nsid w:val="1DCC53AE"/>
    <w:multiLevelType w:val="hybridMultilevel"/>
    <w:tmpl w:val="0D8890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C44295"/>
    <w:multiLevelType w:val="hybridMultilevel"/>
    <w:tmpl w:val="44C6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D52919"/>
    <w:multiLevelType w:val="hybridMultilevel"/>
    <w:tmpl w:val="A686F5C4"/>
    <w:lvl w:ilvl="0" w:tplc="04090001">
      <w:start w:val="1"/>
      <w:numFmt w:val="bullet"/>
      <w:lvlText w:val=""/>
      <w:lvlJc w:val="left"/>
      <w:pPr>
        <w:ind w:left="654" w:hanging="360"/>
      </w:pPr>
      <w:rPr>
        <w:rFonts w:ascii="Symbol" w:hAnsi="Symbol" w:hint="default"/>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11">
    <w:nsid w:val="2FA7474D"/>
    <w:multiLevelType w:val="hybridMultilevel"/>
    <w:tmpl w:val="2B581DC6"/>
    <w:lvl w:ilvl="0" w:tplc="304415BC">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363139F1"/>
    <w:multiLevelType w:val="multilevel"/>
    <w:tmpl w:val="33441EAE"/>
    <w:lvl w:ilvl="0">
      <w:start w:val="2"/>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3">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4">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A452103"/>
    <w:multiLevelType w:val="hybridMultilevel"/>
    <w:tmpl w:val="03D44B1C"/>
    <w:lvl w:ilvl="0" w:tplc="3BF4675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B415F0B"/>
    <w:multiLevelType w:val="hybridMultilevel"/>
    <w:tmpl w:val="AF5AA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B21995"/>
    <w:multiLevelType w:val="hybridMultilevel"/>
    <w:tmpl w:val="64C0B1C6"/>
    <w:lvl w:ilvl="0" w:tplc="36E8EB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9">
    <w:nsid w:val="4CD667EF"/>
    <w:multiLevelType w:val="hybridMultilevel"/>
    <w:tmpl w:val="2E48ECDC"/>
    <w:lvl w:ilvl="0" w:tplc="1712657A">
      <w:start w:val="2"/>
      <w:numFmt w:val="decimal"/>
      <w:lvlText w:val="%1."/>
      <w:lvlJc w:val="left"/>
      <w:pPr>
        <w:ind w:left="72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0">
    <w:nsid w:val="505A4C37"/>
    <w:multiLevelType w:val="hybridMultilevel"/>
    <w:tmpl w:val="58A8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353781"/>
    <w:multiLevelType w:val="hybridMultilevel"/>
    <w:tmpl w:val="40FC55D0"/>
    <w:lvl w:ilvl="0" w:tplc="956CC812">
      <w:start w:val="1"/>
      <w:numFmt w:val="bullet"/>
      <w:lvlText w:val="-"/>
      <w:lvlJc w:val="left"/>
      <w:pPr>
        <w:ind w:left="775" w:hanging="360"/>
      </w:pPr>
      <w:rPr>
        <w:rFonts w:ascii="Times New Roman" w:eastAsia="Times New Roma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2">
    <w:nsid w:val="5C0C7C97"/>
    <w:multiLevelType w:val="hybridMultilevel"/>
    <w:tmpl w:val="BD8C1822"/>
    <w:lvl w:ilvl="0" w:tplc="5E5691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B24430"/>
    <w:multiLevelType w:val="hybridMultilevel"/>
    <w:tmpl w:val="4A8AED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640C7836"/>
    <w:multiLevelType w:val="hybridMultilevel"/>
    <w:tmpl w:val="0DDE3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E703F1"/>
    <w:multiLevelType w:val="hybridMultilevel"/>
    <w:tmpl w:val="33F0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29">
    <w:nsid w:val="6F0565C8"/>
    <w:multiLevelType w:val="hybridMultilevel"/>
    <w:tmpl w:val="0A081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D8109A"/>
    <w:multiLevelType w:val="hybridMultilevel"/>
    <w:tmpl w:val="9A0A0F14"/>
    <w:lvl w:ilvl="0" w:tplc="956CC812">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3">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6"/>
  </w:num>
  <w:num w:numId="2">
    <w:abstractNumId w:val="25"/>
  </w:num>
  <w:num w:numId="3">
    <w:abstractNumId w:val="0"/>
  </w:num>
  <w:num w:numId="4">
    <w:abstractNumId w:val="3"/>
  </w:num>
  <w:num w:numId="5">
    <w:abstractNumId w:val="31"/>
  </w:num>
  <w:num w:numId="6">
    <w:abstractNumId w:val="24"/>
  </w:num>
  <w:num w:numId="7">
    <w:abstractNumId w:val="7"/>
  </w:num>
  <w:num w:numId="8">
    <w:abstractNumId w:val="28"/>
  </w:num>
  <w:num w:numId="9">
    <w:abstractNumId w:val="33"/>
  </w:num>
  <w:num w:numId="10">
    <w:abstractNumId w:val="18"/>
  </w:num>
  <w:num w:numId="11">
    <w:abstractNumId w:val="4"/>
  </w:num>
  <w:num w:numId="12">
    <w:abstractNumId w:val="13"/>
  </w:num>
  <w:num w:numId="13">
    <w:abstractNumId w:val="14"/>
  </w:num>
  <w:num w:numId="14">
    <w:abstractNumId w:val="32"/>
  </w:num>
  <w:num w:numId="15">
    <w:abstractNumId w:val="11"/>
  </w:num>
  <w:num w:numId="16">
    <w:abstractNumId w:val="26"/>
  </w:num>
  <w:num w:numId="17">
    <w:abstractNumId w:val="2"/>
  </w:num>
  <w:num w:numId="18">
    <w:abstractNumId w:val="8"/>
  </w:num>
  <w:num w:numId="19">
    <w:abstractNumId w:val="27"/>
  </w:num>
  <w:num w:numId="20">
    <w:abstractNumId w:val="5"/>
  </w:num>
  <w:num w:numId="21">
    <w:abstractNumId w:val="19"/>
  </w:num>
  <w:num w:numId="22">
    <w:abstractNumId w:val="9"/>
  </w:num>
  <w:num w:numId="23">
    <w:abstractNumId w:val="23"/>
  </w:num>
  <w:num w:numId="24">
    <w:abstractNumId w:val="10"/>
  </w:num>
  <w:num w:numId="25">
    <w:abstractNumId w:val="16"/>
  </w:num>
  <w:num w:numId="26">
    <w:abstractNumId w:val="20"/>
  </w:num>
  <w:num w:numId="27">
    <w:abstractNumId w:val="29"/>
  </w:num>
  <w:num w:numId="28">
    <w:abstractNumId w:val="12"/>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5"/>
  </w:num>
  <w:num w:numId="32">
    <w:abstractNumId w:val="30"/>
  </w:num>
  <w:num w:numId="33">
    <w:abstractNumId w:val="22"/>
  </w:num>
  <w:num w:numId="34">
    <w:abstractNumId w:val="17"/>
  </w:num>
  <w:num w:numId="35">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ia Filfil">
    <w15:presenceInfo w15:providerId="None" w15:userId="Rania Filfi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noPunctuationKerning/>
  <w:characterSpacingControl w:val="doNotCompress"/>
  <w:footnotePr>
    <w:footnote w:id="-1"/>
    <w:footnote w:id="0"/>
  </w:footnotePr>
  <w:endnotePr>
    <w:endnote w:id="-1"/>
    <w:endnote w:id="0"/>
  </w:endnotePr>
  <w:compat/>
  <w:rsids>
    <w:rsidRoot w:val="00672F7C"/>
    <w:rsid w:val="00000F3A"/>
    <w:rsid w:val="0000109D"/>
    <w:rsid w:val="00001B6F"/>
    <w:rsid w:val="000022A7"/>
    <w:rsid w:val="0000630A"/>
    <w:rsid w:val="0000691E"/>
    <w:rsid w:val="00006BF2"/>
    <w:rsid w:val="00010026"/>
    <w:rsid w:val="00010412"/>
    <w:rsid w:val="00013391"/>
    <w:rsid w:val="00015166"/>
    <w:rsid w:val="00015D61"/>
    <w:rsid w:val="00017585"/>
    <w:rsid w:val="00017680"/>
    <w:rsid w:val="00017F58"/>
    <w:rsid w:val="00020BD5"/>
    <w:rsid w:val="000212BD"/>
    <w:rsid w:val="0002184F"/>
    <w:rsid w:val="00021E4F"/>
    <w:rsid w:val="0002327B"/>
    <w:rsid w:val="0002523F"/>
    <w:rsid w:val="000276AB"/>
    <w:rsid w:val="000307CC"/>
    <w:rsid w:val="00030B4B"/>
    <w:rsid w:val="000322EA"/>
    <w:rsid w:val="00035256"/>
    <w:rsid w:val="00037F14"/>
    <w:rsid w:val="000425D6"/>
    <w:rsid w:val="000435A6"/>
    <w:rsid w:val="00045930"/>
    <w:rsid w:val="00045972"/>
    <w:rsid w:val="0005070B"/>
    <w:rsid w:val="00051167"/>
    <w:rsid w:val="00051200"/>
    <w:rsid w:val="00052FC9"/>
    <w:rsid w:val="00053628"/>
    <w:rsid w:val="00053653"/>
    <w:rsid w:val="000541B8"/>
    <w:rsid w:val="00056CDC"/>
    <w:rsid w:val="00056F65"/>
    <w:rsid w:val="00060A04"/>
    <w:rsid w:val="00060D5A"/>
    <w:rsid w:val="00061CF4"/>
    <w:rsid w:val="000657FD"/>
    <w:rsid w:val="00065BA0"/>
    <w:rsid w:val="000672AE"/>
    <w:rsid w:val="00067740"/>
    <w:rsid w:val="0007072F"/>
    <w:rsid w:val="000708D1"/>
    <w:rsid w:val="0007115A"/>
    <w:rsid w:val="000738D2"/>
    <w:rsid w:val="00075E64"/>
    <w:rsid w:val="0007627E"/>
    <w:rsid w:val="00077AA3"/>
    <w:rsid w:val="00077D9A"/>
    <w:rsid w:val="00081908"/>
    <w:rsid w:val="00081D89"/>
    <w:rsid w:val="0008441A"/>
    <w:rsid w:val="00084C95"/>
    <w:rsid w:val="00086A3C"/>
    <w:rsid w:val="00092B71"/>
    <w:rsid w:val="00093358"/>
    <w:rsid w:val="00093A31"/>
    <w:rsid w:val="00093CC0"/>
    <w:rsid w:val="00095FA9"/>
    <w:rsid w:val="00096E7A"/>
    <w:rsid w:val="000976CC"/>
    <w:rsid w:val="000A1279"/>
    <w:rsid w:val="000A219C"/>
    <w:rsid w:val="000A5700"/>
    <w:rsid w:val="000A5F11"/>
    <w:rsid w:val="000A68BE"/>
    <w:rsid w:val="000A6FA1"/>
    <w:rsid w:val="000B0334"/>
    <w:rsid w:val="000B04A2"/>
    <w:rsid w:val="000B0A40"/>
    <w:rsid w:val="000B13DB"/>
    <w:rsid w:val="000B2807"/>
    <w:rsid w:val="000B3123"/>
    <w:rsid w:val="000B4277"/>
    <w:rsid w:val="000B4A73"/>
    <w:rsid w:val="000B4D91"/>
    <w:rsid w:val="000B66F2"/>
    <w:rsid w:val="000B7FA7"/>
    <w:rsid w:val="000C16E5"/>
    <w:rsid w:val="000C2A54"/>
    <w:rsid w:val="000C3A83"/>
    <w:rsid w:val="000C58FD"/>
    <w:rsid w:val="000C5AAE"/>
    <w:rsid w:val="000C673C"/>
    <w:rsid w:val="000D0481"/>
    <w:rsid w:val="000D04ED"/>
    <w:rsid w:val="000D0DD3"/>
    <w:rsid w:val="000D11DF"/>
    <w:rsid w:val="000D2072"/>
    <w:rsid w:val="000D3495"/>
    <w:rsid w:val="000D6814"/>
    <w:rsid w:val="000D6C94"/>
    <w:rsid w:val="000D7A5F"/>
    <w:rsid w:val="000E0259"/>
    <w:rsid w:val="000E1F03"/>
    <w:rsid w:val="000E1FC8"/>
    <w:rsid w:val="000E2483"/>
    <w:rsid w:val="000E25B3"/>
    <w:rsid w:val="000E3116"/>
    <w:rsid w:val="000E455B"/>
    <w:rsid w:val="000E4D67"/>
    <w:rsid w:val="000E532A"/>
    <w:rsid w:val="000E560A"/>
    <w:rsid w:val="000E5E99"/>
    <w:rsid w:val="000E676C"/>
    <w:rsid w:val="000F13E4"/>
    <w:rsid w:val="000F2037"/>
    <w:rsid w:val="000F3BFD"/>
    <w:rsid w:val="000F5D0C"/>
    <w:rsid w:val="00101027"/>
    <w:rsid w:val="00102DD3"/>
    <w:rsid w:val="001059F9"/>
    <w:rsid w:val="00107E46"/>
    <w:rsid w:val="0011085E"/>
    <w:rsid w:val="001109D1"/>
    <w:rsid w:val="00112D91"/>
    <w:rsid w:val="00113DE1"/>
    <w:rsid w:val="00115557"/>
    <w:rsid w:val="0011557E"/>
    <w:rsid w:val="0011719F"/>
    <w:rsid w:val="001171F6"/>
    <w:rsid w:val="001200F1"/>
    <w:rsid w:val="0012217E"/>
    <w:rsid w:val="001228C5"/>
    <w:rsid w:val="00126D59"/>
    <w:rsid w:val="0012717F"/>
    <w:rsid w:val="00130C20"/>
    <w:rsid w:val="00131E46"/>
    <w:rsid w:val="0013282A"/>
    <w:rsid w:val="00133051"/>
    <w:rsid w:val="00135117"/>
    <w:rsid w:val="00135205"/>
    <w:rsid w:val="001432C9"/>
    <w:rsid w:val="00143C47"/>
    <w:rsid w:val="001479BB"/>
    <w:rsid w:val="0015429E"/>
    <w:rsid w:val="00154CCF"/>
    <w:rsid w:val="001578EC"/>
    <w:rsid w:val="00157E4C"/>
    <w:rsid w:val="00164173"/>
    <w:rsid w:val="0016745C"/>
    <w:rsid w:val="001675DA"/>
    <w:rsid w:val="00167827"/>
    <w:rsid w:val="00167944"/>
    <w:rsid w:val="00172DB1"/>
    <w:rsid w:val="001747B8"/>
    <w:rsid w:val="00181BD4"/>
    <w:rsid w:val="00182C55"/>
    <w:rsid w:val="0018338A"/>
    <w:rsid w:val="00183FE2"/>
    <w:rsid w:val="001841CC"/>
    <w:rsid w:val="00186D9B"/>
    <w:rsid w:val="00190FBD"/>
    <w:rsid w:val="0019328C"/>
    <w:rsid w:val="00193449"/>
    <w:rsid w:val="001967EB"/>
    <w:rsid w:val="001972B6"/>
    <w:rsid w:val="00197778"/>
    <w:rsid w:val="00197BCC"/>
    <w:rsid w:val="001A3445"/>
    <w:rsid w:val="001A39FA"/>
    <w:rsid w:val="001A3A69"/>
    <w:rsid w:val="001A5613"/>
    <w:rsid w:val="001B671C"/>
    <w:rsid w:val="001B6EC7"/>
    <w:rsid w:val="001B7404"/>
    <w:rsid w:val="001C3D7A"/>
    <w:rsid w:val="001C605A"/>
    <w:rsid w:val="001C6CBD"/>
    <w:rsid w:val="001D2164"/>
    <w:rsid w:val="001D5983"/>
    <w:rsid w:val="001E15BB"/>
    <w:rsid w:val="001E4703"/>
    <w:rsid w:val="001E5082"/>
    <w:rsid w:val="001E5BA0"/>
    <w:rsid w:val="001F1335"/>
    <w:rsid w:val="001F1578"/>
    <w:rsid w:val="001F2A1A"/>
    <w:rsid w:val="001F5B9F"/>
    <w:rsid w:val="00200DB3"/>
    <w:rsid w:val="00201E4D"/>
    <w:rsid w:val="0020242F"/>
    <w:rsid w:val="0020302D"/>
    <w:rsid w:val="00203B09"/>
    <w:rsid w:val="00204291"/>
    <w:rsid w:val="0020444F"/>
    <w:rsid w:val="00210865"/>
    <w:rsid w:val="002108CE"/>
    <w:rsid w:val="0021099F"/>
    <w:rsid w:val="00211DE6"/>
    <w:rsid w:val="00212BDD"/>
    <w:rsid w:val="00216B9D"/>
    <w:rsid w:val="00222756"/>
    <w:rsid w:val="00223E0A"/>
    <w:rsid w:val="0022528B"/>
    <w:rsid w:val="00225CC0"/>
    <w:rsid w:val="00225E7F"/>
    <w:rsid w:val="002260FF"/>
    <w:rsid w:val="002261C8"/>
    <w:rsid w:val="002264AA"/>
    <w:rsid w:val="00234071"/>
    <w:rsid w:val="00240305"/>
    <w:rsid w:val="00241054"/>
    <w:rsid w:val="002414FF"/>
    <w:rsid w:val="00243210"/>
    <w:rsid w:val="00243C1E"/>
    <w:rsid w:val="00244960"/>
    <w:rsid w:val="00245D39"/>
    <w:rsid w:val="00246F08"/>
    <w:rsid w:val="00250455"/>
    <w:rsid w:val="002507CE"/>
    <w:rsid w:val="00250BBE"/>
    <w:rsid w:val="002515AA"/>
    <w:rsid w:val="002565E3"/>
    <w:rsid w:val="00257630"/>
    <w:rsid w:val="00260024"/>
    <w:rsid w:val="00260CFE"/>
    <w:rsid w:val="002610DD"/>
    <w:rsid w:val="0026247A"/>
    <w:rsid w:val="00262BFD"/>
    <w:rsid w:val="0026437D"/>
    <w:rsid w:val="00264630"/>
    <w:rsid w:val="00264750"/>
    <w:rsid w:val="00264D99"/>
    <w:rsid w:val="00271D1E"/>
    <w:rsid w:val="00272724"/>
    <w:rsid w:val="0027460D"/>
    <w:rsid w:val="002747CF"/>
    <w:rsid w:val="0027545F"/>
    <w:rsid w:val="0027667E"/>
    <w:rsid w:val="002767BA"/>
    <w:rsid w:val="002769B6"/>
    <w:rsid w:val="00276C4A"/>
    <w:rsid w:val="00277101"/>
    <w:rsid w:val="0027785F"/>
    <w:rsid w:val="00280EF7"/>
    <w:rsid w:val="00281B89"/>
    <w:rsid w:val="00282E87"/>
    <w:rsid w:val="00283914"/>
    <w:rsid w:val="00283C6E"/>
    <w:rsid w:val="00287B81"/>
    <w:rsid w:val="00291493"/>
    <w:rsid w:val="00297681"/>
    <w:rsid w:val="002A0269"/>
    <w:rsid w:val="002A0CAA"/>
    <w:rsid w:val="002A206F"/>
    <w:rsid w:val="002A2262"/>
    <w:rsid w:val="002A2CE8"/>
    <w:rsid w:val="002A2E98"/>
    <w:rsid w:val="002A38D4"/>
    <w:rsid w:val="002A5C7B"/>
    <w:rsid w:val="002A6580"/>
    <w:rsid w:val="002A7E25"/>
    <w:rsid w:val="002B0D9C"/>
    <w:rsid w:val="002B170B"/>
    <w:rsid w:val="002B2AF1"/>
    <w:rsid w:val="002B3D10"/>
    <w:rsid w:val="002B50A7"/>
    <w:rsid w:val="002B524D"/>
    <w:rsid w:val="002C198C"/>
    <w:rsid w:val="002C1BD2"/>
    <w:rsid w:val="002C2A53"/>
    <w:rsid w:val="002C37BE"/>
    <w:rsid w:val="002C68BE"/>
    <w:rsid w:val="002C6BA5"/>
    <w:rsid w:val="002C7699"/>
    <w:rsid w:val="002D1471"/>
    <w:rsid w:val="002D365B"/>
    <w:rsid w:val="002D3690"/>
    <w:rsid w:val="002D5A9F"/>
    <w:rsid w:val="002E04B7"/>
    <w:rsid w:val="002E105D"/>
    <w:rsid w:val="002E1197"/>
    <w:rsid w:val="002E1E91"/>
    <w:rsid w:val="002E3C94"/>
    <w:rsid w:val="002E46F5"/>
    <w:rsid w:val="002E72BE"/>
    <w:rsid w:val="002F071A"/>
    <w:rsid w:val="003032DE"/>
    <w:rsid w:val="003057FF"/>
    <w:rsid w:val="0031063E"/>
    <w:rsid w:val="00310E5F"/>
    <w:rsid w:val="00311AD1"/>
    <w:rsid w:val="00312950"/>
    <w:rsid w:val="00312C83"/>
    <w:rsid w:val="00312F0E"/>
    <w:rsid w:val="00313C34"/>
    <w:rsid w:val="00315099"/>
    <w:rsid w:val="0031558F"/>
    <w:rsid w:val="00316B6E"/>
    <w:rsid w:val="00317E6D"/>
    <w:rsid w:val="0032133D"/>
    <w:rsid w:val="00321F7E"/>
    <w:rsid w:val="003223B1"/>
    <w:rsid w:val="00324C0D"/>
    <w:rsid w:val="0032702A"/>
    <w:rsid w:val="00327E05"/>
    <w:rsid w:val="0033203B"/>
    <w:rsid w:val="00336207"/>
    <w:rsid w:val="003374BD"/>
    <w:rsid w:val="00337C7D"/>
    <w:rsid w:val="003405B6"/>
    <w:rsid w:val="003413EF"/>
    <w:rsid w:val="003418EE"/>
    <w:rsid w:val="00341C0E"/>
    <w:rsid w:val="003450A8"/>
    <w:rsid w:val="00345253"/>
    <w:rsid w:val="00346AEC"/>
    <w:rsid w:val="00346ED4"/>
    <w:rsid w:val="003478D5"/>
    <w:rsid w:val="003520B0"/>
    <w:rsid w:val="003521B4"/>
    <w:rsid w:val="00352E72"/>
    <w:rsid w:val="00353657"/>
    <w:rsid w:val="00355F9F"/>
    <w:rsid w:val="0036046A"/>
    <w:rsid w:val="00360AF8"/>
    <w:rsid w:val="00360B90"/>
    <w:rsid w:val="00370DDC"/>
    <w:rsid w:val="0037226B"/>
    <w:rsid w:val="0037241E"/>
    <w:rsid w:val="00374B6E"/>
    <w:rsid w:val="003757C3"/>
    <w:rsid w:val="003760CC"/>
    <w:rsid w:val="00376DF2"/>
    <w:rsid w:val="003778FD"/>
    <w:rsid w:val="00381EC8"/>
    <w:rsid w:val="0038513E"/>
    <w:rsid w:val="00385BB5"/>
    <w:rsid w:val="00390A33"/>
    <w:rsid w:val="003923FB"/>
    <w:rsid w:val="00392A69"/>
    <w:rsid w:val="003948A0"/>
    <w:rsid w:val="00396593"/>
    <w:rsid w:val="0039703C"/>
    <w:rsid w:val="003A4E37"/>
    <w:rsid w:val="003A4EE8"/>
    <w:rsid w:val="003A7559"/>
    <w:rsid w:val="003B186D"/>
    <w:rsid w:val="003B227B"/>
    <w:rsid w:val="003B2F72"/>
    <w:rsid w:val="003B64D4"/>
    <w:rsid w:val="003B67C8"/>
    <w:rsid w:val="003C0223"/>
    <w:rsid w:val="003C37CB"/>
    <w:rsid w:val="003C3994"/>
    <w:rsid w:val="003D09F4"/>
    <w:rsid w:val="003D0A57"/>
    <w:rsid w:val="003D0AA6"/>
    <w:rsid w:val="003D1663"/>
    <w:rsid w:val="003D18E4"/>
    <w:rsid w:val="003D5FBE"/>
    <w:rsid w:val="003D623B"/>
    <w:rsid w:val="003D6243"/>
    <w:rsid w:val="003D7191"/>
    <w:rsid w:val="003E06D2"/>
    <w:rsid w:val="003E16BF"/>
    <w:rsid w:val="003E3DB4"/>
    <w:rsid w:val="003E47B3"/>
    <w:rsid w:val="003E4EB3"/>
    <w:rsid w:val="003E5CE3"/>
    <w:rsid w:val="003E6D63"/>
    <w:rsid w:val="003F1B6E"/>
    <w:rsid w:val="003F4EAA"/>
    <w:rsid w:val="003F620C"/>
    <w:rsid w:val="003F73C8"/>
    <w:rsid w:val="004023CE"/>
    <w:rsid w:val="004030E5"/>
    <w:rsid w:val="004041DC"/>
    <w:rsid w:val="0040573B"/>
    <w:rsid w:val="0040690F"/>
    <w:rsid w:val="00407D44"/>
    <w:rsid w:val="0041023E"/>
    <w:rsid w:val="0041035A"/>
    <w:rsid w:val="00412A29"/>
    <w:rsid w:val="00413833"/>
    <w:rsid w:val="0041420E"/>
    <w:rsid w:val="00414499"/>
    <w:rsid w:val="00415570"/>
    <w:rsid w:val="004166FD"/>
    <w:rsid w:val="00420611"/>
    <w:rsid w:val="004236B1"/>
    <w:rsid w:val="00425918"/>
    <w:rsid w:val="00430449"/>
    <w:rsid w:val="00430EA6"/>
    <w:rsid w:val="004323AD"/>
    <w:rsid w:val="004336BF"/>
    <w:rsid w:val="0043536D"/>
    <w:rsid w:val="004353D5"/>
    <w:rsid w:val="00441908"/>
    <w:rsid w:val="00442672"/>
    <w:rsid w:val="004436F8"/>
    <w:rsid w:val="00443834"/>
    <w:rsid w:val="004440AF"/>
    <w:rsid w:val="004446E7"/>
    <w:rsid w:val="004472CA"/>
    <w:rsid w:val="00450A3F"/>
    <w:rsid w:val="00451B4C"/>
    <w:rsid w:val="00452110"/>
    <w:rsid w:val="00452237"/>
    <w:rsid w:val="00452A40"/>
    <w:rsid w:val="00454C8F"/>
    <w:rsid w:val="00455242"/>
    <w:rsid w:val="00456F96"/>
    <w:rsid w:val="00457EA8"/>
    <w:rsid w:val="0046068E"/>
    <w:rsid w:val="00461B79"/>
    <w:rsid w:val="004635CD"/>
    <w:rsid w:val="00463F00"/>
    <w:rsid w:val="0046490B"/>
    <w:rsid w:val="00464DEE"/>
    <w:rsid w:val="00464F92"/>
    <w:rsid w:val="004664FA"/>
    <w:rsid w:val="00466790"/>
    <w:rsid w:val="00467E57"/>
    <w:rsid w:val="0047147D"/>
    <w:rsid w:val="00471C8A"/>
    <w:rsid w:val="004734FD"/>
    <w:rsid w:val="00473834"/>
    <w:rsid w:val="00474924"/>
    <w:rsid w:val="00477A55"/>
    <w:rsid w:val="00477D8F"/>
    <w:rsid w:val="0048096C"/>
    <w:rsid w:val="00482C36"/>
    <w:rsid w:val="004865D3"/>
    <w:rsid w:val="00487C2F"/>
    <w:rsid w:val="004914E2"/>
    <w:rsid w:val="00491935"/>
    <w:rsid w:val="00492FF7"/>
    <w:rsid w:val="00494E95"/>
    <w:rsid w:val="00495518"/>
    <w:rsid w:val="004957A2"/>
    <w:rsid w:val="004957DC"/>
    <w:rsid w:val="004A00D1"/>
    <w:rsid w:val="004A1A9F"/>
    <w:rsid w:val="004A2A55"/>
    <w:rsid w:val="004A61BD"/>
    <w:rsid w:val="004A6757"/>
    <w:rsid w:val="004A7677"/>
    <w:rsid w:val="004A7940"/>
    <w:rsid w:val="004B320F"/>
    <w:rsid w:val="004B3879"/>
    <w:rsid w:val="004B47BC"/>
    <w:rsid w:val="004B5838"/>
    <w:rsid w:val="004B6320"/>
    <w:rsid w:val="004B681D"/>
    <w:rsid w:val="004B68C5"/>
    <w:rsid w:val="004B71EA"/>
    <w:rsid w:val="004B74E3"/>
    <w:rsid w:val="004C147C"/>
    <w:rsid w:val="004C270A"/>
    <w:rsid w:val="004C38EC"/>
    <w:rsid w:val="004C3BDC"/>
    <w:rsid w:val="004C44EB"/>
    <w:rsid w:val="004C4932"/>
    <w:rsid w:val="004C5A71"/>
    <w:rsid w:val="004D65A0"/>
    <w:rsid w:val="004D6ED0"/>
    <w:rsid w:val="004D7FD2"/>
    <w:rsid w:val="004E1554"/>
    <w:rsid w:val="004E2E9B"/>
    <w:rsid w:val="004E3015"/>
    <w:rsid w:val="004E43AF"/>
    <w:rsid w:val="004F2699"/>
    <w:rsid w:val="004F3AAF"/>
    <w:rsid w:val="004F4741"/>
    <w:rsid w:val="004F751C"/>
    <w:rsid w:val="004F7EDA"/>
    <w:rsid w:val="005007AD"/>
    <w:rsid w:val="00504475"/>
    <w:rsid w:val="005047EA"/>
    <w:rsid w:val="00512A9A"/>
    <w:rsid w:val="0051410B"/>
    <w:rsid w:val="005161CD"/>
    <w:rsid w:val="0051645F"/>
    <w:rsid w:val="005165AB"/>
    <w:rsid w:val="00517073"/>
    <w:rsid w:val="00517578"/>
    <w:rsid w:val="00517E93"/>
    <w:rsid w:val="0052283D"/>
    <w:rsid w:val="00523F0E"/>
    <w:rsid w:val="0052418E"/>
    <w:rsid w:val="00524686"/>
    <w:rsid w:val="00525E0E"/>
    <w:rsid w:val="005262F7"/>
    <w:rsid w:val="005264F2"/>
    <w:rsid w:val="005266F1"/>
    <w:rsid w:val="00527E14"/>
    <w:rsid w:val="00530684"/>
    <w:rsid w:val="005316C1"/>
    <w:rsid w:val="00532390"/>
    <w:rsid w:val="0053275E"/>
    <w:rsid w:val="0053285F"/>
    <w:rsid w:val="00533F2A"/>
    <w:rsid w:val="0053428A"/>
    <w:rsid w:val="00535A77"/>
    <w:rsid w:val="0054059D"/>
    <w:rsid w:val="00545629"/>
    <w:rsid w:val="00545DB4"/>
    <w:rsid w:val="00545E3F"/>
    <w:rsid w:val="0054766D"/>
    <w:rsid w:val="00551EAF"/>
    <w:rsid w:val="00551F9B"/>
    <w:rsid w:val="00555C8D"/>
    <w:rsid w:val="005571FE"/>
    <w:rsid w:val="00557BDA"/>
    <w:rsid w:val="00562A1F"/>
    <w:rsid w:val="00564C3E"/>
    <w:rsid w:val="0056542B"/>
    <w:rsid w:val="00565860"/>
    <w:rsid w:val="00565F19"/>
    <w:rsid w:val="0056633B"/>
    <w:rsid w:val="00566A48"/>
    <w:rsid w:val="00566E92"/>
    <w:rsid w:val="00570A12"/>
    <w:rsid w:val="005720D7"/>
    <w:rsid w:val="005740B9"/>
    <w:rsid w:val="0057693F"/>
    <w:rsid w:val="00577880"/>
    <w:rsid w:val="00577A17"/>
    <w:rsid w:val="005801E6"/>
    <w:rsid w:val="00581535"/>
    <w:rsid w:val="005817DD"/>
    <w:rsid w:val="00582357"/>
    <w:rsid w:val="0058345C"/>
    <w:rsid w:val="00584075"/>
    <w:rsid w:val="00586A71"/>
    <w:rsid w:val="00587795"/>
    <w:rsid w:val="0059096F"/>
    <w:rsid w:val="005942D9"/>
    <w:rsid w:val="005949F0"/>
    <w:rsid w:val="005952E5"/>
    <w:rsid w:val="00597B7E"/>
    <w:rsid w:val="005A0CD0"/>
    <w:rsid w:val="005A0F60"/>
    <w:rsid w:val="005A0FDC"/>
    <w:rsid w:val="005A1C59"/>
    <w:rsid w:val="005A3D1E"/>
    <w:rsid w:val="005A40FB"/>
    <w:rsid w:val="005A49A2"/>
    <w:rsid w:val="005A49DD"/>
    <w:rsid w:val="005A57E0"/>
    <w:rsid w:val="005A6691"/>
    <w:rsid w:val="005A6ABA"/>
    <w:rsid w:val="005A78A4"/>
    <w:rsid w:val="005A7CEB"/>
    <w:rsid w:val="005B0F50"/>
    <w:rsid w:val="005B44D2"/>
    <w:rsid w:val="005B4620"/>
    <w:rsid w:val="005B55E3"/>
    <w:rsid w:val="005C1D84"/>
    <w:rsid w:val="005C3270"/>
    <w:rsid w:val="005C3824"/>
    <w:rsid w:val="005C6040"/>
    <w:rsid w:val="005C6FC2"/>
    <w:rsid w:val="005C78FA"/>
    <w:rsid w:val="005D2C78"/>
    <w:rsid w:val="005D5B48"/>
    <w:rsid w:val="005D6073"/>
    <w:rsid w:val="005D6EAB"/>
    <w:rsid w:val="005E09F6"/>
    <w:rsid w:val="005E0E7A"/>
    <w:rsid w:val="005E0F13"/>
    <w:rsid w:val="005E147F"/>
    <w:rsid w:val="005E2815"/>
    <w:rsid w:val="005E4004"/>
    <w:rsid w:val="005E5263"/>
    <w:rsid w:val="005E5EFB"/>
    <w:rsid w:val="005F05D5"/>
    <w:rsid w:val="005F083F"/>
    <w:rsid w:val="005F0A00"/>
    <w:rsid w:val="005F124C"/>
    <w:rsid w:val="005F1821"/>
    <w:rsid w:val="005F2BB2"/>
    <w:rsid w:val="005F5139"/>
    <w:rsid w:val="005F520E"/>
    <w:rsid w:val="005F65BF"/>
    <w:rsid w:val="005F796E"/>
    <w:rsid w:val="0060026D"/>
    <w:rsid w:val="00600E94"/>
    <w:rsid w:val="00601285"/>
    <w:rsid w:val="006019F4"/>
    <w:rsid w:val="00606743"/>
    <w:rsid w:val="00606CAE"/>
    <w:rsid w:val="00610C0E"/>
    <w:rsid w:val="00611D76"/>
    <w:rsid w:val="00612663"/>
    <w:rsid w:val="0061292C"/>
    <w:rsid w:val="0061531B"/>
    <w:rsid w:val="006156E6"/>
    <w:rsid w:val="00615F95"/>
    <w:rsid w:val="00615FF9"/>
    <w:rsid w:val="006177F8"/>
    <w:rsid w:val="006204D7"/>
    <w:rsid w:val="006205DA"/>
    <w:rsid w:val="0062254D"/>
    <w:rsid w:val="00625F15"/>
    <w:rsid w:val="006276E6"/>
    <w:rsid w:val="006304FC"/>
    <w:rsid w:val="006305EE"/>
    <w:rsid w:val="00630C8C"/>
    <w:rsid w:val="00631927"/>
    <w:rsid w:val="00632E75"/>
    <w:rsid w:val="00633E53"/>
    <w:rsid w:val="006349E0"/>
    <w:rsid w:val="00636707"/>
    <w:rsid w:val="00640DFB"/>
    <w:rsid w:val="00641975"/>
    <w:rsid w:val="00642B9B"/>
    <w:rsid w:val="00642F81"/>
    <w:rsid w:val="00644B31"/>
    <w:rsid w:val="00650DD6"/>
    <w:rsid w:val="0065169E"/>
    <w:rsid w:val="00653FFE"/>
    <w:rsid w:val="00654A25"/>
    <w:rsid w:val="0065640F"/>
    <w:rsid w:val="00656CC0"/>
    <w:rsid w:val="00661FB0"/>
    <w:rsid w:val="006638D3"/>
    <w:rsid w:val="00664535"/>
    <w:rsid w:val="006654FA"/>
    <w:rsid w:val="0066659C"/>
    <w:rsid w:val="00667A79"/>
    <w:rsid w:val="006702A5"/>
    <w:rsid w:val="00670B43"/>
    <w:rsid w:val="006721B2"/>
    <w:rsid w:val="006721F5"/>
    <w:rsid w:val="00672F34"/>
    <w:rsid w:val="00672F7C"/>
    <w:rsid w:val="006751DE"/>
    <w:rsid w:val="006773DA"/>
    <w:rsid w:val="00681141"/>
    <w:rsid w:val="00683CE8"/>
    <w:rsid w:val="00685B7E"/>
    <w:rsid w:val="0068604F"/>
    <w:rsid w:val="00686AA3"/>
    <w:rsid w:val="00693A3F"/>
    <w:rsid w:val="00693B6F"/>
    <w:rsid w:val="006946AC"/>
    <w:rsid w:val="006948CF"/>
    <w:rsid w:val="0069528F"/>
    <w:rsid w:val="00695910"/>
    <w:rsid w:val="00696D7F"/>
    <w:rsid w:val="006A1E1F"/>
    <w:rsid w:val="006A32E6"/>
    <w:rsid w:val="006A3B9C"/>
    <w:rsid w:val="006A4942"/>
    <w:rsid w:val="006A5940"/>
    <w:rsid w:val="006A65E0"/>
    <w:rsid w:val="006A6B61"/>
    <w:rsid w:val="006A73B8"/>
    <w:rsid w:val="006A7642"/>
    <w:rsid w:val="006A77B6"/>
    <w:rsid w:val="006A7F15"/>
    <w:rsid w:val="006B14A7"/>
    <w:rsid w:val="006B354F"/>
    <w:rsid w:val="006B43A3"/>
    <w:rsid w:val="006B47E9"/>
    <w:rsid w:val="006B56BF"/>
    <w:rsid w:val="006B5A1B"/>
    <w:rsid w:val="006B6189"/>
    <w:rsid w:val="006B76B9"/>
    <w:rsid w:val="006B7F85"/>
    <w:rsid w:val="006C28FF"/>
    <w:rsid w:val="006C4652"/>
    <w:rsid w:val="006D2EF0"/>
    <w:rsid w:val="006D76DF"/>
    <w:rsid w:val="006D7796"/>
    <w:rsid w:val="006E1D35"/>
    <w:rsid w:val="006E29AC"/>
    <w:rsid w:val="006E6C95"/>
    <w:rsid w:val="006E76ED"/>
    <w:rsid w:val="006E7940"/>
    <w:rsid w:val="006F3AB2"/>
    <w:rsid w:val="006F5065"/>
    <w:rsid w:val="006F7FAC"/>
    <w:rsid w:val="00700F2F"/>
    <w:rsid w:val="007031C3"/>
    <w:rsid w:val="007041AD"/>
    <w:rsid w:val="00705139"/>
    <w:rsid w:val="00705661"/>
    <w:rsid w:val="00710338"/>
    <w:rsid w:val="00710B54"/>
    <w:rsid w:val="00713722"/>
    <w:rsid w:val="00715037"/>
    <w:rsid w:val="00715246"/>
    <w:rsid w:val="007165C3"/>
    <w:rsid w:val="00716FBD"/>
    <w:rsid w:val="007218F1"/>
    <w:rsid w:val="0072277E"/>
    <w:rsid w:val="00725E7A"/>
    <w:rsid w:val="00726DC3"/>
    <w:rsid w:val="00731872"/>
    <w:rsid w:val="007340B6"/>
    <w:rsid w:val="00734BEE"/>
    <w:rsid w:val="007417B6"/>
    <w:rsid w:val="00741B61"/>
    <w:rsid w:val="007428BD"/>
    <w:rsid w:val="00742EB3"/>
    <w:rsid w:val="00744197"/>
    <w:rsid w:val="007441BB"/>
    <w:rsid w:val="007458D6"/>
    <w:rsid w:val="0074699F"/>
    <w:rsid w:val="0074739F"/>
    <w:rsid w:val="00750313"/>
    <w:rsid w:val="0075049F"/>
    <w:rsid w:val="00751D89"/>
    <w:rsid w:val="007520C2"/>
    <w:rsid w:val="00753005"/>
    <w:rsid w:val="00756F72"/>
    <w:rsid w:val="00757772"/>
    <w:rsid w:val="0076586D"/>
    <w:rsid w:val="0076621F"/>
    <w:rsid w:val="0076649D"/>
    <w:rsid w:val="00766ADD"/>
    <w:rsid w:val="00767065"/>
    <w:rsid w:val="007671E8"/>
    <w:rsid w:val="00771E88"/>
    <w:rsid w:val="00772506"/>
    <w:rsid w:val="00772EFC"/>
    <w:rsid w:val="00773E99"/>
    <w:rsid w:val="00776E26"/>
    <w:rsid w:val="00784A36"/>
    <w:rsid w:val="00784D78"/>
    <w:rsid w:val="00785A75"/>
    <w:rsid w:val="00786E68"/>
    <w:rsid w:val="00791236"/>
    <w:rsid w:val="0079211F"/>
    <w:rsid w:val="00792C7B"/>
    <w:rsid w:val="00792E0C"/>
    <w:rsid w:val="00794F16"/>
    <w:rsid w:val="00794F9D"/>
    <w:rsid w:val="007951EA"/>
    <w:rsid w:val="00795C14"/>
    <w:rsid w:val="007A1F86"/>
    <w:rsid w:val="007A52AD"/>
    <w:rsid w:val="007A64FC"/>
    <w:rsid w:val="007A65CC"/>
    <w:rsid w:val="007A75BC"/>
    <w:rsid w:val="007B2512"/>
    <w:rsid w:val="007B3018"/>
    <w:rsid w:val="007B3BF7"/>
    <w:rsid w:val="007B4649"/>
    <w:rsid w:val="007B5DFE"/>
    <w:rsid w:val="007B62B8"/>
    <w:rsid w:val="007B6D29"/>
    <w:rsid w:val="007C0CDF"/>
    <w:rsid w:val="007C23CA"/>
    <w:rsid w:val="007C2712"/>
    <w:rsid w:val="007C4363"/>
    <w:rsid w:val="007C50C3"/>
    <w:rsid w:val="007C592F"/>
    <w:rsid w:val="007C7663"/>
    <w:rsid w:val="007D383D"/>
    <w:rsid w:val="007D3B80"/>
    <w:rsid w:val="007D58D2"/>
    <w:rsid w:val="007D6CA0"/>
    <w:rsid w:val="007E3427"/>
    <w:rsid w:val="007E3726"/>
    <w:rsid w:val="007E685A"/>
    <w:rsid w:val="007E7D56"/>
    <w:rsid w:val="007F12D3"/>
    <w:rsid w:val="007F1BA8"/>
    <w:rsid w:val="007F1D28"/>
    <w:rsid w:val="007F25BD"/>
    <w:rsid w:val="007F33D9"/>
    <w:rsid w:val="007F51EF"/>
    <w:rsid w:val="007F693A"/>
    <w:rsid w:val="007F6CF1"/>
    <w:rsid w:val="007F7831"/>
    <w:rsid w:val="007F7C49"/>
    <w:rsid w:val="00802D74"/>
    <w:rsid w:val="00805626"/>
    <w:rsid w:val="0080609A"/>
    <w:rsid w:val="008072EA"/>
    <w:rsid w:val="00810BDA"/>
    <w:rsid w:val="00811555"/>
    <w:rsid w:val="00811D78"/>
    <w:rsid w:val="00812B72"/>
    <w:rsid w:val="00813035"/>
    <w:rsid w:val="00813B70"/>
    <w:rsid w:val="00813E2D"/>
    <w:rsid w:val="00813F6D"/>
    <w:rsid w:val="00814A1A"/>
    <w:rsid w:val="00815410"/>
    <w:rsid w:val="008158FA"/>
    <w:rsid w:val="00815CAB"/>
    <w:rsid w:val="0082038F"/>
    <w:rsid w:val="00820E11"/>
    <w:rsid w:val="00821FAB"/>
    <w:rsid w:val="00822598"/>
    <w:rsid w:val="00822A81"/>
    <w:rsid w:val="0082624A"/>
    <w:rsid w:val="00826450"/>
    <w:rsid w:val="008337DC"/>
    <w:rsid w:val="0083443C"/>
    <w:rsid w:val="00836D07"/>
    <w:rsid w:val="00841B58"/>
    <w:rsid w:val="00841B7E"/>
    <w:rsid w:val="00842CB9"/>
    <w:rsid w:val="0084566B"/>
    <w:rsid w:val="00845714"/>
    <w:rsid w:val="00845DDB"/>
    <w:rsid w:val="00847C1A"/>
    <w:rsid w:val="00850041"/>
    <w:rsid w:val="008504EA"/>
    <w:rsid w:val="00852769"/>
    <w:rsid w:val="00855512"/>
    <w:rsid w:val="00856145"/>
    <w:rsid w:val="00856E25"/>
    <w:rsid w:val="00857B12"/>
    <w:rsid w:val="008617E8"/>
    <w:rsid w:val="008655E6"/>
    <w:rsid w:val="008724A6"/>
    <w:rsid w:val="008737C2"/>
    <w:rsid w:val="00875438"/>
    <w:rsid w:val="00876945"/>
    <w:rsid w:val="00876C38"/>
    <w:rsid w:val="0087733A"/>
    <w:rsid w:val="0087764A"/>
    <w:rsid w:val="0088366F"/>
    <w:rsid w:val="0088664C"/>
    <w:rsid w:val="008911CD"/>
    <w:rsid w:val="008915E2"/>
    <w:rsid w:val="0089176B"/>
    <w:rsid w:val="00891901"/>
    <w:rsid w:val="00892137"/>
    <w:rsid w:val="008927C7"/>
    <w:rsid w:val="008A171D"/>
    <w:rsid w:val="008A2574"/>
    <w:rsid w:val="008A3658"/>
    <w:rsid w:val="008A3F17"/>
    <w:rsid w:val="008A48E9"/>
    <w:rsid w:val="008A5891"/>
    <w:rsid w:val="008A59B9"/>
    <w:rsid w:val="008A615B"/>
    <w:rsid w:val="008B0FC4"/>
    <w:rsid w:val="008B1183"/>
    <w:rsid w:val="008B17D3"/>
    <w:rsid w:val="008B5446"/>
    <w:rsid w:val="008C1A2A"/>
    <w:rsid w:val="008C2305"/>
    <w:rsid w:val="008C361B"/>
    <w:rsid w:val="008D37A5"/>
    <w:rsid w:val="008D3B5A"/>
    <w:rsid w:val="008D407A"/>
    <w:rsid w:val="008D7623"/>
    <w:rsid w:val="008D765C"/>
    <w:rsid w:val="008D7FE6"/>
    <w:rsid w:val="008E0448"/>
    <w:rsid w:val="008E1036"/>
    <w:rsid w:val="008E1555"/>
    <w:rsid w:val="008E2273"/>
    <w:rsid w:val="008E3361"/>
    <w:rsid w:val="008E35C4"/>
    <w:rsid w:val="008E506E"/>
    <w:rsid w:val="008E5118"/>
    <w:rsid w:val="008E60BA"/>
    <w:rsid w:val="008E629C"/>
    <w:rsid w:val="008F2690"/>
    <w:rsid w:val="008F294F"/>
    <w:rsid w:val="008F2BCB"/>
    <w:rsid w:val="008F6F53"/>
    <w:rsid w:val="008F7DAF"/>
    <w:rsid w:val="0090089C"/>
    <w:rsid w:val="00900E99"/>
    <w:rsid w:val="00900F33"/>
    <w:rsid w:val="00901EE9"/>
    <w:rsid w:val="00904139"/>
    <w:rsid w:val="009045E8"/>
    <w:rsid w:val="009047CE"/>
    <w:rsid w:val="00904D4D"/>
    <w:rsid w:val="0090533C"/>
    <w:rsid w:val="009062A9"/>
    <w:rsid w:val="00906EFB"/>
    <w:rsid w:val="009105D6"/>
    <w:rsid w:val="00911549"/>
    <w:rsid w:val="00913970"/>
    <w:rsid w:val="009149F4"/>
    <w:rsid w:val="0091579F"/>
    <w:rsid w:val="0092088E"/>
    <w:rsid w:val="00920BE0"/>
    <w:rsid w:val="00921404"/>
    <w:rsid w:val="00921D12"/>
    <w:rsid w:val="00922A1D"/>
    <w:rsid w:val="009231CA"/>
    <w:rsid w:val="009241AA"/>
    <w:rsid w:val="00924697"/>
    <w:rsid w:val="00925557"/>
    <w:rsid w:val="00925BF8"/>
    <w:rsid w:val="00926658"/>
    <w:rsid w:val="00926B67"/>
    <w:rsid w:val="00930E59"/>
    <w:rsid w:val="00931895"/>
    <w:rsid w:val="009401B3"/>
    <w:rsid w:val="009422A8"/>
    <w:rsid w:val="00942987"/>
    <w:rsid w:val="00944F60"/>
    <w:rsid w:val="00945925"/>
    <w:rsid w:val="009473BD"/>
    <w:rsid w:val="00947554"/>
    <w:rsid w:val="00951EF2"/>
    <w:rsid w:val="009522F3"/>
    <w:rsid w:val="00957164"/>
    <w:rsid w:val="00957F97"/>
    <w:rsid w:val="0096053D"/>
    <w:rsid w:val="009617B9"/>
    <w:rsid w:val="00964868"/>
    <w:rsid w:val="00965084"/>
    <w:rsid w:val="009655C2"/>
    <w:rsid w:val="00967F67"/>
    <w:rsid w:val="00971331"/>
    <w:rsid w:val="00971DBE"/>
    <w:rsid w:val="0097260F"/>
    <w:rsid w:val="00973FEE"/>
    <w:rsid w:val="00977BF3"/>
    <w:rsid w:val="009812E4"/>
    <w:rsid w:val="00981D3A"/>
    <w:rsid w:val="009820FF"/>
    <w:rsid w:val="00983D95"/>
    <w:rsid w:val="009857A8"/>
    <w:rsid w:val="00987BBA"/>
    <w:rsid w:val="00991F5A"/>
    <w:rsid w:val="0099348D"/>
    <w:rsid w:val="00993939"/>
    <w:rsid w:val="009952DB"/>
    <w:rsid w:val="00995606"/>
    <w:rsid w:val="00995DA9"/>
    <w:rsid w:val="009967D6"/>
    <w:rsid w:val="00996F86"/>
    <w:rsid w:val="009A0F81"/>
    <w:rsid w:val="009A221B"/>
    <w:rsid w:val="009A2B95"/>
    <w:rsid w:val="009A3072"/>
    <w:rsid w:val="009A3321"/>
    <w:rsid w:val="009A4BC9"/>
    <w:rsid w:val="009A5BAD"/>
    <w:rsid w:val="009A5E8C"/>
    <w:rsid w:val="009A6B90"/>
    <w:rsid w:val="009A7DAD"/>
    <w:rsid w:val="009B0B82"/>
    <w:rsid w:val="009B1D1F"/>
    <w:rsid w:val="009B22B0"/>
    <w:rsid w:val="009B2C5A"/>
    <w:rsid w:val="009B6660"/>
    <w:rsid w:val="009B6CFB"/>
    <w:rsid w:val="009C105D"/>
    <w:rsid w:val="009C1B21"/>
    <w:rsid w:val="009C2A93"/>
    <w:rsid w:val="009C36FF"/>
    <w:rsid w:val="009C401C"/>
    <w:rsid w:val="009C6221"/>
    <w:rsid w:val="009D0604"/>
    <w:rsid w:val="009D0B9C"/>
    <w:rsid w:val="009D4784"/>
    <w:rsid w:val="009D5391"/>
    <w:rsid w:val="009D5D44"/>
    <w:rsid w:val="009D65B6"/>
    <w:rsid w:val="009D6C98"/>
    <w:rsid w:val="009E0F23"/>
    <w:rsid w:val="009E2674"/>
    <w:rsid w:val="009E4B5E"/>
    <w:rsid w:val="009E59B0"/>
    <w:rsid w:val="009E64A8"/>
    <w:rsid w:val="009E7390"/>
    <w:rsid w:val="009F0EFE"/>
    <w:rsid w:val="009F1BE1"/>
    <w:rsid w:val="009F3957"/>
    <w:rsid w:val="00A00E8C"/>
    <w:rsid w:val="00A01641"/>
    <w:rsid w:val="00A026B4"/>
    <w:rsid w:val="00A039EE"/>
    <w:rsid w:val="00A03AE3"/>
    <w:rsid w:val="00A052BD"/>
    <w:rsid w:val="00A05F32"/>
    <w:rsid w:val="00A064DC"/>
    <w:rsid w:val="00A06894"/>
    <w:rsid w:val="00A06B84"/>
    <w:rsid w:val="00A14257"/>
    <w:rsid w:val="00A14B10"/>
    <w:rsid w:val="00A14D21"/>
    <w:rsid w:val="00A1503A"/>
    <w:rsid w:val="00A16A0D"/>
    <w:rsid w:val="00A20E76"/>
    <w:rsid w:val="00A20F9E"/>
    <w:rsid w:val="00A214FA"/>
    <w:rsid w:val="00A2168D"/>
    <w:rsid w:val="00A22662"/>
    <w:rsid w:val="00A25435"/>
    <w:rsid w:val="00A27FB2"/>
    <w:rsid w:val="00A3012B"/>
    <w:rsid w:val="00A31B30"/>
    <w:rsid w:val="00A3236C"/>
    <w:rsid w:val="00A330D1"/>
    <w:rsid w:val="00A348BE"/>
    <w:rsid w:val="00A35F64"/>
    <w:rsid w:val="00A365B5"/>
    <w:rsid w:val="00A37772"/>
    <w:rsid w:val="00A407C8"/>
    <w:rsid w:val="00A4174E"/>
    <w:rsid w:val="00A42256"/>
    <w:rsid w:val="00A43570"/>
    <w:rsid w:val="00A453EB"/>
    <w:rsid w:val="00A512DF"/>
    <w:rsid w:val="00A51753"/>
    <w:rsid w:val="00A51AF0"/>
    <w:rsid w:val="00A51D4A"/>
    <w:rsid w:val="00A52C64"/>
    <w:rsid w:val="00A5428E"/>
    <w:rsid w:val="00A55224"/>
    <w:rsid w:val="00A5543A"/>
    <w:rsid w:val="00A55468"/>
    <w:rsid w:val="00A56942"/>
    <w:rsid w:val="00A57FB8"/>
    <w:rsid w:val="00A60AE2"/>
    <w:rsid w:val="00A611F2"/>
    <w:rsid w:val="00A618F8"/>
    <w:rsid w:val="00A648B6"/>
    <w:rsid w:val="00A67270"/>
    <w:rsid w:val="00A675CD"/>
    <w:rsid w:val="00A67754"/>
    <w:rsid w:val="00A67F7F"/>
    <w:rsid w:val="00A70320"/>
    <w:rsid w:val="00A71CBD"/>
    <w:rsid w:val="00A733A0"/>
    <w:rsid w:val="00A73607"/>
    <w:rsid w:val="00A73E4B"/>
    <w:rsid w:val="00A745FE"/>
    <w:rsid w:val="00A752D0"/>
    <w:rsid w:val="00A758DD"/>
    <w:rsid w:val="00A75960"/>
    <w:rsid w:val="00A804C1"/>
    <w:rsid w:val="00A810DB"/>
    <w:rsid w:val="00A819A6"/>
    <w:rsid w:val="00A824BC"/>
    <w:rsid w:val="00A93529"/>
    <w:rsid w:val="00A9412D"/>
    <w:rsid w:val="00A954FC"/>
    <w:rsid w:val="00A972A3"/>
    <w:rsid w:val="00A97F4C"/>
    <w:rsid w:val="00AA08DD"/>
    <w:rsid w:val="00AA4BF2"/>
    <w:rsid w:val="00AA6738"/>
    <w:rsid w:val="00AA6A4E"/>
    <w:rsid w:val="00AA6B91"/>
    <w:rsid w:val="00AA7F05"/>
    <w:rsid w:val="00AB0B0A"/>
    <w:rsid w:val="00AB18B4"/>
    <w:rsid w:val="00AB59B8"/>
    <w:rsid w:val="00AB6137"/>
    <w:rsid w:val="00AB64BC"/>
    <w:rsid w:val="00AC09BD"/>
    <w:rsid w:val="00AC153C"/>
    <w:rsid w:val="00AC1A77"/>
    <w:rsid w:val="00AC1BDF"/>
    <w:rsid w:val="00AC2510"/>
    <w:rsid w:val="00AC26E6"/>
    <w:rsid w:val="00AC29F9"/>
    <w:rsid w:val="00AC3C64"/>
    <w:rsid w:val="00AC76B0"/>
    <w:rsid w:val="00AC782D"/>
    <w:rsid w:val="00AD2BB3"/>
    <w:rsid w:val="00AD3354"/>
    <w:rsid w:val="00AD3F40"/>
    <w:rsid w:val="00AD42F4"/>
    <w:rsid w:val="00AD5A56"/>
    <w:rsid w:val="00AD6D02"/>
    <w:rsid w:val="00AD7B1F"/>
    <w:rsid w:val="00AE1091"/>
    <w:rsid w:val="00AE183D"/>
    <w:rsid w:val="00AE4DD6"/>
    <w:rsid w:val="00AE732E"/>
    <w:rsid w:val="00AF126E"/>
    <w:rsid w:val="00AF1D45"/>
    <w:rsid w:val="00AF2067"/>
    <w:rsid w:val="00B0255F"/>
    <w:rsid w:val="00B02DC6"/>
    <w:rsid w:val="00B04D4A"/>
    <w:rsid w:val="00B06702"/>
    <w:rsid w:val="00B0724D"/>
    <w:rsid w:val="00B120B4"/>
    <w:rsid w:val="00B141B6"/>
    <w:rsid w:val="00B14574"/>
    <w:rsid w:val="00B15292"/>
    <w:rsid w:val="00B1547F"/>
    <w:rsid w:val="00B2011C"/>
    <w:rsid w:val="00B2019B"/>
    <w:rsid w:val="00B2020A"/>
    <w:rsid w:val="00B2180D"/>
    <w:rsid w:val="00B221EF"/>
    <w:rsid w:val="00B223C7"/>
    <w:rsid w:val="00B22F2D"/>
    <w:rsid w:val="00B2322E"/>
    <w:rsid w:val="00B25420"/>
    <w:rsid w:val="00B270DE"/>
    <w:rsid w:val="00B2794E"/>
    <w:rsid w:val="00B3268C"/>
    <w:rsid w:val="00B33583"/>
    <w:rsid w:val="00B35DBD"/>
    <w:rsid w:val="00B3714C"/>
    <w:rsid w:val="00B3749D"/>
    <w:rsid w:val="00B40C30"/>
    <w:rsid w:val="00B43BEC"/>
    <w:rsid w:val="00B45B8C"/>
    <w:rsid w:val="00B50BA2"/>
    <w:rsid w:val="00B5178A"/>
    <w:rsid w:val="00B5195C"/>
    <w:rsid w:val="00B51B32"/>
    <w:rsid w:val="00B52AF0"/>
    <w:rsid w:val="00B52BE4"/>
    <w:rsid w:val="00B52D09"/>
    <w:rsid w:val="00B54877"/>
    <w:rsid w:val="00B57D04"/>
    <w:rsid w:val="00B6207C"/>
    <w:rsid w:val="00B6342E"/>
    <w:rsid w:val="00B66F45"/>
    <w:rsid w:val="00B70849"/>
    <w:rsid w:val="00B7089D"/>
    <w:rsid w:val="00B714CC"/>
    <w:rsid w:val="00B72477"/>
    <w:rsid w:val="00B7324B"/>
    <w:rsid w:val="00B737B6"/>
    <w:rsid w:val="00B73FC6"/>
    <w:rsid w:val="00B75425"/>
    <w:rsid w:val="00B75BEE"/>
    <w:rsid w:val="00B800A6"/>
    <w:rsid w:val="00B8201A"/>
    <w:rsid w:val="00B85896"/>
    <w:rsid w:val="00B86CD1"/>
    <w:rsid w:val="00B87CEF"/>
    <w:rsid w:val="00B87D60"/>
    <w:rsid w:val="00B910F3"/>
    <w:rsid w:val="00B93317"/>
    <w:rsid w:val="00B9331A"/>
    <w:rsid w:val="00B96134"/>
    <w:rsid w:val="00B96604"/>
    <w:rsid w:val="00BA0E13"/>
    <w:rsid w:val="00BA0E77"/>
    <w:rsid w:val="00BA18E5"/>
    <w:rsid w:val="00BA2CE3"/>
    <w:rsid w:val="00BA4D6B"/>
    <w:rsid w:val="00BA6028"/>
    <w:rsid w:val="00BA70AF"/>
    <w:rsid w:val="00BA70BB"/>
    <w:rsid w:val="00BB07AE"/>
    <w:rsid w:val="00BB0F82"/>
    <w:rsid w:val="00BB1244"/>
    <w:rsid w:val="00BB2738"/>
    <w:rsid w:val="00BB31F6"/>
    <w:rsid w:val="00BB4431"/>
    <w:rsid w:val="00BB4507"/>
    <w:rsid w:val="00BB48A5"/>
    <w:rsid w:val="00BB7F3D"/>
    <w:rsid w:val="00BC0CBF"/>
    <w:rsid w:val="00BC304E"/>
    <w:rsid w:val="00BC334A"/>
    <w:rsid w:val="00BC388D"/>
    <w:rsid w:val="00BC3DA0"/>
    <w:rsid w:val="00BC4612"/>
    <w:rsid w:val="00BC5EBA"/>
    <w:rsid w:val="00BC7016"/>
    <w:rsid w:val="00BC730B"/>
    <w:rsid w:val="00BC78D7"/>
    <w:rsid w:val="00BC7B04"/>
    <w:rsid w:val="00BD25F5"/>
    <w:rsid w:val="00BD33A2"/>
    <w:rsid w:val="00BD60C8"/>
    <w:rsid w:val="00BE02E3"/>
    <w:rsid w:val="00BE0549"/>
    <w:rsid w:val="00BE2CEB"/>
    <w:rsid w:val="00BE3470"/>
    <w:rsid w:val="00BE34EA"/>
    <w:rsid w:val="00BE383B"/>
    <w:rsid w:val="00BE49C4"/>
    <w:rsid w:val="00BE6479"/>
    <w:rsid w:val="00BF08AA"/>
    <w:rsid w:val="00BF1BEE"/>
    <w:rsid w:val="00BF1CA3"/>
    <w:rsid w:val="00BF4111"/>
    <w:rsid w:val="00BF5877"/>
    <w:rsid w:val="00BF62B9"/>
    <w:rsid w:val="00BF7F88"/>
    <w:rsid w:val="00BF7FD3"/>
    <w:rsid w:val="00C00368"/>
    <w:rsid w:val="00C00FC2"/>
    <w:rsid w:val="00C05BAE"/>
    <w:rsid w:val="00C079A9"/>
    <w:rsid w:val="00C100CC"/>
    <w:rsid w:val="00C10231"/>
    <w:rsid w:val="00C10793"/>
    <w:rsid w:val="00C1083D"/>
    <w:rsid w:val="00C133D6"/>
    <w:rsid w:val="00C13C84"/>
    <w:rsid w:val="00C17E59"/>
    <w:rsid w:val="00C21939"/>
    <w:rsid w:val="00C220AF"/>
    <w:rsid w:val="00C22DB9"/>
    <w:rsid w:val="00C2387E"/>
    <w:rsid w:val="00C330FF"/>
    <w:rsid w:val="00C358D3"/>
    <w:rsid w:val="00C35BEE"/>
    <w:rsid w:val="00C3610A"/>
    <w:rsid w:val="00C43493"/>
    <w:rsid w:val="00C44EA4"/>
    <w:rsid w:val="00C45678"/>
    <w:rsid w:val="00C463AA"/>
    <w:rsid w:val="00C4750B"/>
    <w:rsid w:val="00C5045B"/>
    <w:rsid w:val="00C506F0"/>
    <w:rsid w:val="00C50F22"/>
    <w:rsid w:val="00C52AD5"/>
    <w:rsid w:val="00C52ADD"/>
    <w:rsid w:val="00C53F08"/>
    <w:rsid w:val="00C54A02"/>
    <w:rsid w:val="00C54B5B"/>
    <w:rsid w:val="00C56530"/>
    <w:rsid w:val="00C573DF"/>
    <w:rsid w:val="00C576BE"/>
    <w:rsid w:val="00C57916"/>
    <w:rsid w:val="00C6064F"/>
    <w:rsid w:val="00C62A49"/>
    <w:rsid w:val="00C642DD"/>
    <w:rsid w:val="00C65C4C"/>
    <w:rsid w:val="00C67EAE"/>
    <w:rsid w:val="00C71361"/>
    <w:rsid w:val="00C74B50"/>
    <w:rsid w:val="00C74F51"/>
    <w:rsid w:val="00C75E7D"/>
    <w:rsid w:val="00C80628"/>
    <w:rsid w:val="00C807CD"/>
    <w:rsid w:val="00C8087B"/>
    <w:rsid w:val="00C8249F"/>
    <w:rsid w:val="00C84F53"/>
    <w:rsid w:val="00C90B45"/>
    <w:rsid w:val="00C94B54"/>
    <w:rsid w:val="00CA1E1B"/>
    <w:rsid w:val="00CA3024"/>
    <w:rsid w:val="00CA304C"/>
    <w:rsid w:val="00CA4DB5"/>
    <w:rsid w:val="00CA5FEB"/>
    <w:rsid w:val="00CA74C9"/>
    <w:rsid w:val="00CB029A"/>
    <w:rsid w:val="00CB0A89"/>
    <w:rsid w:val="00CB30C4"/>
    <w:rsid w:val="00CB39FF"/>
    <w:rsid w:val="00CB7E8D"/>
    <w:rsid w:val="00CC0F2E"/>
    <w:rsid w:val="00CC30F9"/>
    <w:rsid w:val="00CC4E84"/>
    <w:rsid w:val="00CC6B56"/>
    <w:rsid w:val="00CD24BF"/>
    <w:rsid w:val="00CD4A66"/>
    <w:rsid w:val="00CD6605"/>
    <w:rsid w:val="00CD70B7"/>
    <w:rsid w:val="00CE0049"/>
    <w:rsid w:val="00CE08FE"/>
    <w:rsid w:val="00CE0F34"/>
    <w:rsid w:val="00CE13B2"/>
    <w:rsid w:val="00CE1920"/>
    <w:rsid w:val="00CE2506"/>
    <w:rsid w:val="00CE2E28"/>
    <w:rsid w:val="00CE46CB"/>
    <w:rsid w:val="00CE476E"/>
    <w:rsid w:val="00CE66EC"/>
    <w:rsid w:val="00CF12EC"/>
    <w:rsid w:val="00CF173B"/>
    <w:rsid w:val="00CF1BAF"/>
    <w:rsid w:val="00CF1DC7"/>
    <w:rsid w:val="00CF2F2F"/>
    <w:rsid w:val="00CF393D"/>
    <w:rsid w:val="00CF3B3A"/>
    <w:rsid w:val="00CF3C7C"/>
    <w:rsid w:val="00CF629E"/>
    <w:rsid w:val="00D01014"/>
    <w:rsid w:val="00D0115D"/>
    <w:rsid w:val="00D014DD"/>
    <w:rsid w:val="00D021EE"/>
    <w:rsid w:val="00D0330B"/>
    <w:rsid w:val="00D0490E"/>
    <w:rsid w:val="00D060DA"/>
    <w:rsid w:val="00D0622B"/>
    <w:rsid w:val="00D07555"/>
    <w:rsid w:val="00D12B5D"/>
    <w:rsid w:val="00D12E37"/>
    <w:rsid w:val="00D14139"/>
    <w:rsid w:val="00D1495D"/>
    <w:rsid w:val="00D14ACB"/>
    <w:rsid w:val="00D15DE9"/>
    <w:rsid w:val="00D21D9A"/>
    <w:rsid w:val="00D237F6"/>
    <w:rsid w:val="00D255CD"/>
    <w:rsid w:val="00D26D8C"/>
    <w:rsid w:val="00D27235"/>
    <w:rsid w:val="00D32452"/>
    <w:rsid w:val="00D325B9"/>
    <w:rsid w:val="00D32EEB"/>
    <w:rsid w:val="00D35BF4"/>
    <w:rsid w:val="00D35DCC"/>
    <w:rsid w:val="00D40525"/>
    <w:rsid w:val="00D408DC"/>
    <w:rsid w:val="00D40CC6"/>
    <w:rsid w:val="00D4211C"/>
    <w:rsid w:val="00D42148"/>
    <w:rsid w:val="00D4264C"/>
    <w:rsid w:val="00D443AF"/>
    <w:rsid w:val="00D44E59"/>
    <w:rsid w:val="00D4746A"/>
    <w:rsid w:val="00D477FD"/>
    <w:rsid w:val="00D5464D"/>
    <w:rsid w:val="00D54B7B"/>
    <w:rsid w:val="00D54D4E"/>
    <w:rsid w:val="00D55B25"/>
    <w:rsid w:val="00D576E9"/>
    <w:rsid w:val="00D62BB7"/>
    <w:rsid w:val="00D63A14"/>
    <w:rsid w:val="00D64107"/>
    <w:rsid w:val="00D64D1A"/>
    <w:rsid w:val="00D64E4E"/>
    <w:rsid w:val="00D65C8F"/>
    <w:rsid w:val="00D66A08"/>
    <w:rsid w:val="00D675D2"/>
    <w:rsid w:val="00D710FB"/>
    <w:rsid w:val="00D7114B"/>
    <w:rsid w:val="00D74CCB"/>
    <w:rsid w:val="00D76FE6"/>
    <w:rsid w:val="00D806BB"/>
    <w:rsid w:val="00D811A1"/>
    <w:rsid w:val="00D831CF"/>
    <w:rsid w:val="00D8372D"/>
    <w:rsid w:val="00D8514D"/>
    <w:rsid w:val="00D876C8"/>
    <w:rsid w:val="00D87F93"/>
    <w:rsid w:val="00D909F1"/>
    <w:rsid w:val="00D91241"/>
    <w:rsid w:val="00D947B2"/>
    <w:rsid w:val="00D95C25"/>
    <w:rsid w:val="00D96CE2"/>
    <w:rsid w:val="00D97F05"/>
    <w:rsid w:val="00DA2BAE"/>
    <w:rsid w:val="00DA395F"/>
    <w:rsid w:val="00DA3F5C"/>
    <w:rsid w:val="00DA4454"/>
    <w:rsid w:val="00DA4DF8"/>
    <w:rsid w:val="00DA6283"/>
    <w:rsid w:val="00DA715C"/>
    <w:rsid w:val="00DB0725"/>
    <w:rsid w:val="00DB173F"/>
    <w:rsid w:val="00DB1D0D"/>
    <w:rsid w:val="00DB1F5C"/>
    <w:rsid w:val="00DB2CA8"/>
    <w:rsid w:val="00DC78FA"/>
    <w:rsid w:val="00DD0C09"/>
    <w:rsid w:val="00DD0EF2"/>
    <w:rsid w:val="00DD1F31"/>
    <w:rsid w:val="00DD3528"/>
    <w:rsid w:val="00DD4AFE"/>
    <w:rsid w:val="00DD59F1"/>
    <w:rsid w:val="00DD5A7A"/>
    <w:rsid w:val="00DD67FE"/>
    <w:rsid w:val="00DD6826"/>
    <w:rsid w:val="00DD75EE"/>
    <w:rsid w:val="00DE12EA"/>
    <w:rsid w:val="00DE3BFF"/>
    <w:rsid w:val="00DE3D9F"/>
    <w:rsid w:val="00DE4155"/>
    <w:rsid w:val="00DF0D68"/>
    <w:rsid w:val="00DF2A42"/>
    <w:rsid w:val="00DF57C7"/>
    <w:rsid w:val="00E02668"/>
    <w:rsid w:val="00E02B76"/>
    <w:rsid w:val="00E03D04"/>
    <w:rsid w:val="00E056C4"/>
    <w:rsid w:val="00E05B72"/>
    <w:rsid w:val="00E05D16"/>
    <w:rsid w:val="00E115B8"/>
    <w:rsid w:val="00E11DE5"/>
    <w:rsid w:val="00E128C7"/>
    <w:rsid w:val="00E146AB"/>
    <w:rsid w:val="00E161FF"/>
    <w:rsid w:val="00E165D3"/>
    <w:rsid w:val="00E1699F"/>
    <w:rsid w:val="00E234D4"/>
    <w:rsid w:val="00E2367E"/>
    <w:rsid w:val="00E23731"/>
    <w:rsid w:val="00E247CE"/>
    <w:rsid w:val="00E26E0E"/>
    <w:rsid w:val="00E27EF6"/>
    <w:rsid w:val="00E337DA"/>
    <w:rsid w:val="00E40F3B"/>
    <w:rsid w:val="00E413DB"/>
    <w:rsid w:val="00E447E7"/>
    <w:rsid w:val="00E45002"/>
    <w:rsid w:val="00E45119"/>
    <w:rsid w:val="00E470BC"/>
    <w:rsid w:val="00E47B8C"/>
    <w:rsid w:val="00E50AC2"/>
    <w:rsid w:val="00E52467"/>
    <w:rsid w:val="00E537B2"/>
    <w:rsid w:val="00E53989"/>
    <w:rsid w:val="00E57658"/>
    <w:rsid w:val="00E60251"/>
    <w:rsid w:val="00E610CE"/>
    <w:rsid w:val="00E612EF"/>
    <w:rsid w:val="00E64649"/>
    <w:rsid w:val="00E64993"/>
    <w:rsid w:val="00E672F9"/>
    <w:rsid w:val="00E717D9"/>
    <w:rsid w:val="00E72249"/>
    <w:rsid w:val="00E740AA"/>
    <w:rsid w:val="00E744B3"/>
    <w:rsid w:val="00E755CD"/>
    <w:rsid w:val="00E75622"/>
    <w:rsid w:val="00E764CD"/>
    <w:rsid w:val="00E76CE5"/>
    <w:rsid w:val="00E80B0A"/>
    <w:rsid w:val="00E8400F"/>
    <w:rsid w:val="00E845D9"/>
    <w:rsid w:val="00E84C77"/>
    <w:rsid w:val="00E850E0"/>
    <w:rsid w:val="00E858C8"/>
    <w:rsid w:val="00E87870"/>
    <w:rsid w:val="00E90429"/>
    <w:rsid w:val="00E93DA2"/>
    <w:rsid w:val="00E93DA9"/>
    <w:rsid w:val="00E956EA"/>
    <w:rsid w:val="00E960CC"/>
    <w:rsid w:val="00E96865"/>
    <w:rsid w:val="00E97078"/>
    <w:rsid w:val="00E976F3"/>
    <w:rsid w:val="00EA041E"/>
    <w:rsid w:val="00EA1C9B"/>
    <w:rsid w:val="00EA1FD8"/>
    <w:rsid w:val="00EA32C1"/>
    <w:rsid w:val="00EA43AD"/>
    <w:rsid w:val="00EA4E88"/>
    <w:rsid w:val="00EA6785"/>
    <w:rsid w:val="00EA6CD6"/>
    <w:rsid w:val="00EA7CBB"/>
    <w:rsid w:val="00EB143C"/>
    <w:rsid w:val="00EB26E8"/>
    <w:rsid w:val="00EB5A68"/>
    <w:rsid w:val="00EB6343"/>
    <w:rsid w:val="00EB7C6E"/>
    <w:rsid w:val="00EC05AF"/>
    <w:rsid w:val="00EC1935"/>
    <w:rsid w:val="00EC1B54"/>
    <w:rsid w:val="00EC61C8"/>
    <w:rsid w:val="00EC682E"/>
    <w:rsid w:val="00EC6C88"/>
    <w:rsid w:val="00EC7872"/>
    <w:rsid w:val="00ED0E5A"/>
    <w:rsid w:val="00ED1094"/>
    <w:rsid w:val="00ED3126"/>
    <w:rsid w:val="00ED46A9"/>
    <w:rsid w:val="00ED5493"/>
    <w:rsid w:val="00ED631C"/>
    <w:rsid w:val="00ED6347"/>
    <w:rsid w:val="00ED6B10"/>
    <w:rsid w:val="00EE13C6"/>
    <w:rsid w:val="00EE22BD"/>
    <w:rsid w:val="00EE22D6"/>
    <w:rsid w:val="00EE2B28"/>
    <w:rsid w:val="00EE6272"/>
    <w:rsid w:val="00EE638B"/>
    <w:rsid w:val="00EE71D6"/>
    <w:rsid w:val="00EF0A12"/>
    <w:rsid w:val="00EF0DE5"/>
    <w:rsid w:val="00EF36E5"/>
    <w:rsid w:val="00EF62DB"/>
    <w:rsid w:val="00EF7684"/>
    <w:rsid w:val="00F00180"/>
    <w:rsid w:val="00F024D5"/>
    <w:rsid w:val="00F02975"/>
    <w:rsid w:val="00F02BB9"/>
    <w:rsid w:val="00F060B9"/>
    <w:rsid w:val="00F06216"/>
    <w:rsid w:val="00F07E89"/>
    <w:rsid w:val="00F07ED7"/>
    <w:rsid w:val="00F11A24"/>
    <w:rsid w:val="00F12E13"/>
    <w:rsid w:val="00F13C9B"/>
    <w:rsid w:val="00F1455B"/>
    <w:rsid w:val="00F21219"/>
    <w:rsid w:val="00F21411"/>
    <w:rsid w:val="00F218CC"/>
    <w:rsid w:val="00F228E5"/>
    <w:rsid w:val="00F232E5"/>
    <w:rsid w:val="00F232F1"/>
    <w:rsid w:val="00F2345D"/>
    <w:rsid w:val="00F2510C"/>
    <w:rsid w:val="00F2622A"/>
    <w:rsid w:val="00F26AD3"/>
    <w:rsid w:val="00F26B7B"/>
    <w:rsid w:val="00F274EF"/>
    <w:rsid w:val="00F34AB0"/>
    <w:rsid w:val="00F375FB"/>
    <w:rsid w:val="00F37777"/>
    <w:rsid w:val="00F42482"/>
    <w:rsid w:val="00F42A0F"/>
    <w:rsid w:val="00F453FB"/>
    <w:rsid w:val="00F45C65"/>
    <w:rsid w:val="00F506F6"/>
    <w:rsid w:val="00F50FD6"/>
    <w:rsid w:val="00F51A5B"/>
    <w:rsid w:val="00F530F9"/>
    <w:rsid w:val="00F566D4"/>
    <w:rsid w:val="00F57EA0"/>
    <w:rsid w:val="00F62506"/>
    <w:rsid w:val="00F67E15"/>
    <w:rsid w:val="00F72E0B"/>
    <w:rsid w:val="00F760CE"/>
    <w:rsid w:val="00F77E79"/>
    <w:rsid w:val="00F806DD"/>
    <w:rsid w:val="00F837D9"/>
    <w:rsid w:val="00F85B22"/>
    <w:rsid w:val="00F86370"/>
    <w:rsid w:val="00F90F88"/>
    <w:rsid w:val="00F9133C"/>
    <w:rsid w:val="00F91525"/>
    <w:rsid w:val="00F94452"/>
    <w:rsid w:val="00F94A8A"/>
    <w:rsid w:val="00F97067"/>
    <w:rsid w:val="00FA4950"/>
    <w:rsid w:val="00FB0F50"/>
    <w:rsid w:val="00FB112E"/>
    <w:rsid w:val="00FB1882"/>
    <w:rsid w:val="00FB1C9B"/>
    <w:rsid w:val="00FB30A5"/>
    <w:rsid w:val="00FB30D9"/>
    <w:rsid w:val="00FB4E61"/>
    <w:rsid w:val="00FB5D01"/>
    <w:rsid w:val="00FB72B1"/>
    <w:rsid w:val="00FC157F"/>
    <w:rsid w:val="00FC2477"/>
    <w:rsid w:val="00FC3651"/>
    <w:rsid w:val="00FC49A1"/>
    <w:rsid w:val="00FC54AB"/>
    <w:rsid w:val="00FC7571"/>
    <w:rsid w:val="00FD2E74"/>
    <w:rsid w:val="00FE1195"/>
    <w:rsid w:val="00FE1683"/>
    <w:rsid w:val="00FE1958"/>
    <w:rsid w:val="00FE221B"/>
    <w:rsid w:val="00FE22CF"/>
    <w:rsid w:val="00FE2B7C"/>
    <w:rsid w:val="00FE3658"/>
    <w:rsid w:val="00FE4866"/>
    <w:rsid w:val="00FE5905"/>
    <w:rsid w:val="00FE5E13"/>
    <w:rsid w:val="00FE5EE0"/>
    <w:rsid w:val="00FF04CD"/>
    <w:rsid w:val="00FF2883"/>
    <w:rsid w:val="00FF39CF"/>
    <w:rsid w:val="00FF5F00"/>
    <w:rsid w:val="00FF6B5D"/>
    <w:rsid w:val="00FF6DDE"/>
    <w:rsid w:val="00FF73C4"/>
    <w:rsid w:val="00FF7D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7D3B80"/>
    <w:pPr>
      <w:ind w:left="720"/>
      <w:contextualSpacing/>
    </w:pPr>
  </w:style>
  <w:style w:type="character" w:customStyle="1" w:styleId="hps">
    <w:name w:val="hps"/>
    <w:basedOn w:val="DefaultParagraphFont"/>
    <w:rsid w:val="006F5065"/>
  </w:style>
</w:styles>
</file>

<file path=word/webSettings.xml><?xml version="1.0" encoding="utf-8"?>
<w:webSettings xmlns:r="http://schemas.openxmlformats.org/officeDocument/2006/relationships" xmlns:w="http://schemas.openxmlformats.org/wordprocessingml/2006/main">
  <w:divs>
    <w:div w:id="956838770">
      <w:bodyDiv w:val="1"/>
      <w:marLeft w:val="0"/>
      <w:marRight w:val="0"/>
      <w:marTop w:val="0"/>
      <w:marBottom w:val="0"/>
      <w:divBdr>
        <w:top w:val="none" w:sz="0" w:space="0" w:color="auto"/>
        <w:left w:val="none" w:sz="0" w:space="0" w:color="auto"/>
        <w:bottom w:val="none" w:sz="0" w:space="0" w:color="auto"/>
        <w:right w:val="none" w:sz="0" w:space="0" w:color="auto"/>
      </w:divBdr>
    </w:div>
    <w:div w:id="11141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oleObject" Target="file:///C:\Users\Rhusein\Desktop\Book0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1"/>
  <c:chart>
    <c:autoTitleDeleted val="1"/>
    <c:plotArea>
      <c:layout>
        <c:manualLayout>
          <c:layoutTarget val="inner"/>
          <c:xMode val="edge"/>
          <c:yMode val="edge"/>
          <c:x val="0.41759447079509232"/>
          <c:y val="4.4494186210594734E-2"/>
          <c:w val="0.53085465618909011"/>
          <c:h val="0.91956826969209449"/>
        </c:manualLayout>
      </c:layout>
      <c:barChart>
        <c:barDir val="bar"/>
        <c:grouping val="clustered"/>
        <c:ser>
          <c:idx val="0"/>
          <c:order val="0"/>
          <c:tx>
            <c:strRef>
              <c:f>Sheet1!#REF!</c:f>
              <c:strCache>
                <c:ptCount val="1"/>
                <c:pt idx="0">
                  <c:v>#REF!</c:v>
                </c:pt>
              </c:strCache>
            </c:strRef>
          </c:tx>
          <c:dLbls>
            <c:dLbl>
              <c:idx val="0"/>
              <c:layout/>
              <c:tx>
                <c:rich>
                  <a:bodyPr/>
                  <a:lstStyle/>
                  <a:p>
                    <a:r>
                      <a:rPr lang="en-US"/>
                      <a:t>1.8%</a:t>
                    </a:r>
                  </a:p>
                </c:rich>
              </c:tx>
              <c:showVal val="1"/>
            </c:dLbl>
            <c:dLbl>
              <c:idx val="1"/>
              <c:layout/>
              <c:tx>
                <c:rich>
                  <a:bodyPr/>
                  <a:lstStyle/>
                  <a:p>
                    <a:r>
                      <a:rPr lang="en-US"/>
                      <a:t>3.3%</a:t>
                    </a:r>
                  </a:p>
                </c:rich>
              </c:tx>
              <c:showVal val="1"/>
            </c:dLbl>
            <c:dLbl>
              <c:idx val="2"/>
              <c:layout/>
              <c:tx>
                <c:rich>
                  <a:bodyPr/>
                  <a:lstStyle/>
                  <a:p>
                    <a:r>
                      <a:rPr lang="en-US"/>
                      <a:t>4.2%</a:t>
                    </a:r>
                  </a:p>
                </c:rich>
              </c:tx>
              <c:showVal val="1"/>
            </c:dLbl>
            <c:dLbl>
              <c:idx val="3"/>
              <c:layout/>
              <c:tx>
                <c:rich>
                  <a:bodyPr/>
                  <a:lstStyle/>
                  <a:p>
                    <a:r>
                      <a:rPr lang="en-US"/>
                      <a:t>6.1%</a:t>
                    </a:r>
                  </a:p>
                </c:rich>
              </c:tx>
              <c:showVal val="1"/>
            </c:dLbl>
            <c:dLbl>
              <c:idx val="4"/>
              <c:layout/>
              <c:tx>
                <c:rich>
                  <a:bodyPr/>
                  <a:lstStyle/>
                  <a:p>
                    <a:r>
                      <a:rPr lang="en-US"/>
                      <a:t>7.4%</a:t>
                    </a:r>
                  </a:p>
                </c:rich>
              </c:tx>
              <c:showVal val="1"/>
            </c:dLbl>
            <c:dLbl>
              <c:idx val="5"/>
              <c:layout/>
              <c:tx>
                <c:rich>
                  <a:bodyPr/>
                  <a:lstStyle/>
                  <a:p>
                    <a:r>
                      <a:rPr lang="en-US"/>
                      <a:t>8.5%</a:t>
                    </a:r>
                  </a:p>
                </c:rich>
              </c:tx>
              <c:showVal val="1"/>
            </c:dLbl>
            <c:dLbl>
              <c:idx val="6"/>
              <c:layout/>
              <c:tx>
                <c:rich>
                  <a:bodyPr/>
                  <a:lstStyle/>
                  <a:p>
                    <a:r>
                      <a:rPr lang="en-US"/>
                      <a:t>13.2%</a:t>
                    </a:r>
                  </a:p>
                </c:rich>
              </c:tx>
              <c:showVal val="1"/>
            </c:dLbl>
            <c:dLbl>
              <c:idx val="7"/>
              <c:layout/>
              <c:tx>
                <c:rich>
                  <a:bodyPr/>
                  <a:lstStyle/>
                  <a:p>
                    <a:r>
                      <a:rPr lang="en-US"/>
                      <a:t>13.3%</a:t>
                    </a:r>
                  </a:p>
                </c:rich>
              </c:tx>
              <c:showVal val="1"/>
            </c:dLbl>
            <c:dLbl>
              <c:idx val="8"/>
              <c:layout/>
              <c:tx>
                <c:rich>
                  <a:bodyPr/>
                  <a:lstStyle/>
                  <a:p>
                    <a:r>
                      <a:rPr lang="en-US"/>
                      <a:t>20%</a:t>
                    </a:r>
                  </a:p>
                </c:rich>
              </c:tx>
              <c:showVal val="1"/>
            </c:dLbl>
            <c:dLbl>
              <c:idx val="9"/>
              <c:layout/>
              <c:tx>
                <c:rich>
                  <a:bodyPr/>
                  <a:lstStyle/>
                  <a:p>
                    <a:r>
                      <a:rPr lang="en-US"/>
                      <a:t>22.2%</a:t>
                    </a:r>
                  </a:p>
                </c:rich>
              </c:tx>
              <c:showVal val="1"/>
            </c:dLbl>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Sheet1!$A$2:$A$11</c:f>
              <c:strCache>
                <c:ptCount val="10"/>
                <c:pt idx="0">
                  <c:v>Transportation and storage</c:v>
                </c:pt>
                <c:pt idx="1">
                  <c:v>Information and communication</c:v>
                </c:pt>
                <c:pt idx="2">
                  <c:v>Financial and insurance activities</c:v>
                </c:pt>
                <c:pt idx="3">
                  <c:v>Construction</c:v>
                </c:pt>
                <c:pt idx="4">
                  <c:v>Agriculture, forestry and fishing</c:v>
                </c:pt>
                <c:pt idx="5">
                  <c:v>Public administration and defense</c:v>
                </c:pt>
                <c:pt idx="6">
                  <c:v>Mining, manufacturing, electricity and water</c:v>
                </c:pt>
                <c:pt idx="7">
                  <c:v>Other**</c:v>
                </c:pt>
                <c:pt idx="8">
                  <c:v>Services</c:v>
                </c:pt>
                <c:pt idx="9">
                  <c:v>Wholesale and retail trade</c:v>
                </c:pt>
              </c:strCache>
            </c:strRef>
          </c:cat>
          <c:val>
            <c:numRef>
              <c:f>Sheet1!$B$2:$B$11</c:f>
              <c:numCache>
                <c:formatCode>0.0%</c:formatCode>
                <c:ptCount val="10"/>
                <c:pt idx="0">
                  <c:v>1.7999999999999999E-2</c:v>
                </c:pt>
                <c:pt idx="1">
                  <c:v>3.3000000000000002E-2</c:v>
                </c:pt>
                <c:pt idx="2">
                  <c:v>4.2000000000000023E-2</c:v>
                </c:pt>
                <c:pt idx="3">
                  <c:v>6.1000000000000013E-2</c:v>
                </c:pt>
                <c:pt idx="4">
                  <c:v>6.4000000000000057E-2</c:v>
                </c:pt>
                <c:pt idx="5">
                  <c:v>8.5000000000000006E-2</c:v>
                </c:pt>
                <c:pt idx="6">
                  <c:v>0.13400000000000001</c:v>
                </c:pt>
                <c:pt idx="7">
                  <c:v>0.13600000000000001</c:v>
                </c:pt>
                <c:pt idx="8">
                  <c:v>0.20300000000000001</c:v>
                </c:pt>
                <c:pt idx="9">
                  <c:v>0.224</c:v>
                </c:pt>
              </c:numCache>
            </c:numRef>
          </c:val>
          <c:extLst xmlns:c16r2="http://schemas.microsoft.com/office/drawing/2015/06/chart">
            <c:ext xmlns:c16="http://schemas.microsoft.com/office/drawing/2014/chart" uri="{C3380CC4-5D6E-409C-BE32-E72D297353CC}">
              <c16:uniqueId val="{00000000-C32A-48C8-9236-9048FBD24304}"/>
            </c:ext>
          </c:extLst>
        </c:ser>
        <c:dLbls>
          <c:showVal val="1"/>
        </c:dLbls>
        <c:axId val="166284672"/>
        <c:axId val="166364288"/>
      </c:barChart>
      <c:catAx>
        <c:axId val="166284672"/>
        <c:scaling>
          <c:orientation val="minMax"/>
        </c:scaling>
        <c:axPos val="l"/>
        <c:numFmt formatCode="General" sourceLinked="0"/>
        <c:majorTickMark val="none"/>
        <c:tickLblPos val="nextTo"/>
        <c:txPr>
          <a:bodyPr rot="0" vert="horz" anchor="ctr" anchorCtr="0"/>
          <a:lstStyle/>
          <a:p>
            <a:pPr>
              <a:defRPr sz="900"/>
            </a:pPr>
            <a:endParaRPr lang="ar-SA"/>
          </a:p>
        </c:txPr>
        <c:crossAx val="166364288"/>
        <c:crosses val="autoZero"/>
        <c:auto val="1"/>
        <c:lblAlgn val="l"/>
        <c:lblOffset val="100"/>
      </c:catAx>
      <c:valAx>
        <c:axId val="166364288"/>
        <c:scaling>
          <c:orientation val="minMax"/>
        </c:scaling>
        <c:delete val="1"/>
        <c:axPos val="b"/>
        <c:numFmt formatCode="0.0%" sourceLinked="1"/>
        <c:majorTickMark val="none"/>
        <c:tickLblPos val="none"/>
        <c:crossAx val="166284672"/>
        <c:crosses val="autoZero"/>
        <c:crossBetween val="between"/>
      </c:valAx>
    </c:plotArea>
    <c:plotVisOnly val="1"/>
    <c:dispBlanksAs val="zero"/>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4630787130990093E-2"/>
          <c:y val="0.1768264974340894"/>
          <c:w val="0.89662965043056087"/>
          <c:h val="0.62240059544795656"/>
        </c:manualLayout>
      </c:layout>
      <c:lineChart>
        <c:grouping val="standard"/>
        <c:ser>
          <c:idx val="0"/>
          <c:order val="0"/>
          <c:tx>
            <c:strRef>
              <c:f>Sheet1!$A$2</c:f>
              <c:strCache>
                <c:ptCount val="1"/>
                <c:pt idx="0">
                  <c:v>Gross Domestic Product at Current Prices</c:v>
                </c:pt>
              </c:strCache>
            </c:strRef>
          </c:tx>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c:formatCode>
                <c:ptCount val="15"/>
                <c:pt idx="0">
                  <c:v>4603.1000000000004</c:v>
                </c:pt>
                <c:pt idx="1">
                  <c:v>5125.7000000000007</c:v>
                </c:pt>
                <c:pt idx="2">
                  <c:v>5348.2999999999993</c:v>
                </c:pt>
                <c:pt idx="3">
                  <c:v>5815.7</c:v>
                </c:pt>
                <c:pt idx="4">
                  <c:v>7310.4</c:v>
                </c:pt>
                <c:pt idx="5">
                  <c:v>8085.7000000000007</c:v>
                </c:pt>
                <c:pt idx="6">
                  <c:v>9681.5</c:v>
                </c:pt>
                <c:pt idx="7">
                  <c:v>11186.1</c:v>
                </c:pt>
                <c:pt idx="8">
                  <c:v>12208.4</c:v>
                </c:pt>
                <c:pt idx="9">
                  <c:v>13515.5</c:v>
                </c:pt>
                <c:pt idx="10">
                  <c:v>13989.699999999983</c:v>
                </c:pt>
                <c:pt idx="11">
                  <c:v>13972.400000000001</c:v>
                </c:pt>
                <c:pt idx="12">
                  <c:v>15405.4</c:v>
                </c:pt>
                <c:pt idx="13">
                  <c:v>16128</c:v>
                </c:pt>
                <c:pt idx="14">
                  <c:v>16276.6</c:v>
                </c:pt>
              </c:numCache>
            </c:numRef>
          </c:val>
          <c:extLst xmlns:c16r2="http://schemas.microsoft.com/office/drawing/2015/06/chart">
            <c:ext xmlns:c16="http://schemas.microsoft.com/office/drawing/2014/chart" uri="{C3380CC4-5D6E-409C-BE32-E72D297353CC}">
              <c16:uniqueId val="{00000000-0870-4B49-A5C9-C7B0CD719E62}"/>
            </c:ext>
          </c:extLst>
        </c:ser>
        <c:ser>
          <c:idx val="1"/>
          <c:order val="1"/>
          <c:tx>
            <c:strRef>
              <c:f>Sheet1!$A$3</c:f>
              <c:strCache>
                <c:ptCount val="1"/>
                <c:pt idx="0">
                  <c:v>Gross Domestic Product at Constant Prices</c:v>
                </c:pt>
              </c:strCache>
            </c:strRef>
          </c:tx>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c:formatCode>
                <c:ptCount val="15"/>
                <c:pt idx="0">
                  <c:v>7853.4000000000015</c:v>
                </c:pt>
                <c:pt idx="1">
                  <c:v>8740.1</c:v>
                </c:pt>
                <c:pt idx="2">
                  <c:v>8653</c:v>
                </c:pt>
                <c:pt idx="3">
                  <c:v>8980.7999999999811</c:v>
                </c:pt>
                <c:pt idx="4">
                  <c:v>9648</c:v>
                </c:pt>
                <c:pt idx="5">
                  <c:v>10477.1</c:v>
                </c:pt>
                <c:pt idx="6">
                  <c:v>11082.4</c:v>
                </c:pt>
                <c:pt idx="7">
                  <c:v>12146.400000000001</c:v>
                </c:pt>
                <c:pt idx="8">
                  <c:v>12886.9</c:v>
                </c:pt>
                <c:pt idx="9">
                  <c:v>13492.399999999969</c:v>
                </c:pt>
                <c:pt idx="10">
                  <c:v>13471.1</c:v>
                </c:pt>
                <c:pt idx="11">
                  <c:v>13972.400000000001</c:v>
                </c:pt>
                <c:pt idx="12">
                  <c:v>15211</c:v>
                </c:pt>
                <c:pt idx="13">
                  <c:v>15426.899999999969</c:v>
                </c:pt>
                <c:pt idx="14">
                  <c:v>15616.2</c:v>
                </c:pt>
              </c:numCache>
            </c:numRef>
          </c:val>
          <c:extLst xmlns:c16r2="http://schemas.microsoft.com/office/drawing/2015/06/chart">
            <c:ext xmlns:c16="http://schemas.microsoft.com/office/drawing/2014/chart" uri="{C3380CC4-5D6E-409C-BE32-E72D297353CC}">
              <c16:uniqueId val="{00000001-0870-4B49-A5C9-C7B0CD719E62}"/>
            </c:ext>
          </c:extLst>
        </c:ser>
        <c:marker val="1"/>
        <c:axId val="166831616"/>
        <c:axId val="166833152"/>
      </c:lineChart>
      <c:catAx>
        <c:axId val="166831616"/>
        <c:scaling>
          <c:orientation val="minMax"/>
        </c:scaling>
        <c:axPos val="b"/>
        <c:numFmt formatCode="General" sourceLinked="1"/>
        <c:tickLblPos val="nextTo"/>
        <c:txPr>
          <a:bodyPr rot="0" vert="horz"/>
          <a:lstStyle/>
          <a:p>
            <a:pPr>
              <a:defRPr sz="850"/>
            </a:pPr>
            <a:endParaRPr lang="ar-SA"/>
          </a:p>
        </c:txPr>
        <c:crossAx val="166833152"/>
        <c:crosses val="autoZero"/>
        <c:auto val="1"/>
        <c:lblAlgn val="ctr"/>
        <c:lblOffset val="50"/>
        <c:tickLblSkip val="1"/>
        <c:tickMarkSkip val="1"/>
      </c:catAx>
      <c:valAx>
        <c:axId val="166833152"/>
        <c:scaling>
          <c:orientation val="minMax"/>
          <c:min val="0"/>
        </c:scaling>
        <c:axPos val="l"/>
        <c:majorGridlines/>
        <c:numFmt formatCode="#,##0" sourceLinked="0"/>
        <c:tickLblPos val="nextTo"/>
        <c:txPr>
          <a:bodyPr rot="-60000" vert="horz"/>
          <a:lstStyle/>
          <a:p>
            <a:pPr>
              <a:defRPr/>
            </a:pPr>
            <a:endParaRPr lang="ar-SA"/>
          </a:p>
        </c:txPr>
        <c:crossAx val="166831616"/>
        <c:crosses val="autoZero"/>
        <c:crossBetween val="between"/>
        <c:majorUnit val="3000"/>
      </c:valAx>
    </c:plotArea>
    <c:legend>
      <c:legendPos val="r"/>
      <c:layout>
        <c:manualLayout>
          <c:xMode val="edge"/>
          <c:yMode val="edge"/>
          <c:x val="3.8014825680402493E-2"/>
          <c:y val="8.8671760536404175E-4"/>
          <c:w val="0.94892552309949485"/>
          <c:h val="9.9687389822540856E-2"/>
        </c:manualLayout>
      </c:layout>
      <c:spPr>
        <a:ln>
          <a:solidFill>
            <a:sysClr val="windowText" lastClr="000000"/>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23365473098399"/>
          <c:y val="0.14146458784285623"/>
          <c:w val="0.89116061944162606"/>
          <c:h val="0.71376018236764227"/>
        </c:manualLayout>
      </c:layout>
      <c:lineChart>
        <c:grouping val="standard"/>
        <c:ser>
          <c:idx val="0"/>
          <c:order val="0"/>
          <c:tx>
            <c:strRef>
              <c:f>Sheet1!$A$2</c:f>
              <c:strCache>
                <c:ptCount val="1"/>
                <c:pt idx="0">
                  <c:v>GNI at current prices</c:v>
                </c:pt>
              </c:strCache>
            </c:strRef>
          </c:tx>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c:formatCode>
                <c:ptCount val="15"/>
                <c:pt idx="0">
                  <c:v>4831.3</c:v>
                </c:pt>
                <c:pt idx="1">
                  <c:v>5474.7000000000007</c:v>
                </c:pt>
                <c:pt idx="2">
                  <c:v>5770.9</c:v>
                </c:pt>
                <c:pt idx="3">
                  <c:v>6368.3</c:v>
                </c:pt>
                <c:pt idx="4">
                  <c:v>7981.7</c:v>
                </c:pt>
                <c:pt idx="5">
                  <c:v>8617.8000000000011</c:v>
                </c:pt>
                <c:pt idx="6">
                  <c:v>10280.6</c:v>
                </c:pt>
                <c:pt idx="7">
                  <c:v>11935.6</c:v>
                </c:pt>
                <c:pt idx="8">
                  <c:v>13065.9</c:v>
                </c:pt>
                <c:pt idx="9">
                  <c:v>14675.8</c:v>
                </c:pt>
                <c:pt idx="10">
                  <c:v>15472.3</c:v>
                </c:pt>
                <c:pt idx="11">
                  <c:v>15684.800000000001</c:v>
                </c:pt>
                <c:pt idx="12">
                  <c:v>17301.099999999951</c:v>
                </c:pt>
                <c:pt idx="13">
                  <c:v>18257</c:v>
                </c:pt>
                <c:pt idx="14">
                  <c:v>19063.900000000001</c:v>
                </c:pt>
              </c:numCache>
            </c:numRef>
          </c:val>
          <c:extLst xmlns:c16r2="http://schemas.microsoft.com/office/drawing/2015/06/chart">
            <c:ext xmlns:c16="http://schemas.microsoft.com/office/drawing/2014/chart" uri="{C3380CC4-5D6E-409C-BE32-E72D297353CC}">
              <c16:uniqueId val="{00000000-2D13-49BC-904C-8D916FE03241}"/>
            </c:ext>
          </c:extLst>
        </c:ser>
        <c:ser>
          <c:idx val="1"/>
          <c:order val="1"/>
          <c:tx>
            <c:strRef>
              <c:f>Sheet1!$A$3</c:f>
              <c:strCache>
                <c:ptCount val="1"/>
                <c:pt idx="0">
                  <c:v>GNI at constant prices</c:v>
                </c:pt>
              </c:strCache>
            </c:strRef>
          </c:tx>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c:formatCode>
                <c:ptCount val="15"/>
                <c:pt idx="0">
                  <c:v>8366.2999999999811</c:v>
                </c:pt>
                <c:pt idx="1">
                  <c:v>9423.5000000000018</c:v>
                </c:pt>
                <c:pt idx="2">
                  <c:v>9457.6</c:v>
                </c:pt>
                <c:pt idx="3">
                  <c:v>9919</c:v>
                </c:pt>
                <c:pt idx="4">
                  <c:v>10797.1</c:v>
                </c:pt>
                <c:pt idx="5">
                  <c:v>11499.1</c:v>
                </c:pt>
                <c:pt idx="6">
                  <c:v>11866.999999999973</c:v>
                </c:pt>
                <c:pt idx="7">
                  <c:v>13054.000000000002</c:v>
                </c:pt>
                <c:pt idx="8">
                  <c:v>13905.100000000002</c:v>
                </c:pt>
                <c:pt idx="9">
                  <c:v>14755.300000000001</c:v>
                </c:pt>
                <c:pt idx="10">
                  <c:v>14916.3</c:v>
                </c:pt>
                <c:pt idx="11">
                  <c:v>15684.8</c:v>
                </c:pt>
                <c:pt idx="12">
                  <c:v>16904.7</c:v>
                </c:pt>
                <c:pt idx="13">
                  <c:v>17331.300000000003</c:v>
                </c:pt>
                <c:pt idx="14">
                  <c:v>18121.5</c:v>
                </c:pt>
              </c:numCache>
            </c:numRef>
          </c:val>
          <c:extLst xmlns:c16r2="http://schemas.microsoft.com/office/drawing/2015/06/chart">
            <c:ext xmlns:c16="http://schemas.microsoft.com/office/drawing/2014/chart" uri="{C3380CC4-5D6E-409C-BE32-E72D297353CC}">
              <c16:uniqueId val="{00000002-2D13-49BC-904C-8D916FE03241}"/>
            </c:ext>
          </c:extLst>
        </c:ser>
        <c:marker val="1"/>
        <c:axId val="166916096"/>
        <c:axId val="166917632"/>
      </c:lineChart>
      <c:catAx>
        <c:axId val="166916096"/>
        <c:scaling>
          <c:orientation val="minMax"/>
        </c:scaling>
        <c:axPos val="b"/>
        <c:numFmt formatCode="General" sourceLinked="1"/>
        <c:tickLblPos val="nextTo"/>
        <c:txPr>
          <a:bodyPr rot="0" vert="horz"/>
          <a:lstStyle/>
          <a:p>
            <a:pPr>
              <a:defRPr sz="850">
                <a:latin typeface="Arial" pitchFamily="34" charset="0"/>
                <a:cs typeface="Arial" pitchFamily="34" charset="0"/>
              </a:defRPr>
            </a:pPr>
            <a:endParaRPr lang="ar-SA"/>
          </a:p>
        </c:txPr>
        <c:crossAx val="166917632"/>
        <c:crosses val="autoZero"/>
        <c:auto val="1"/>
        <c:lblAlgn val="ctr"/>
        <c:lblOffset val="50"/>
        <c:tickLblSkip val="1"/>
        <c:tickMarkSkip val="1"/>
      </c:catAx>
      <c:valAx>
        <c:axId val="166917632"/>
        <c:scaling>
          <c:orientation val="minMax"/>
          <c:max val="20000"/>
          <c:min val="0"/>
        </c:scaling>
        <c:axPos val="l"/>
        <c:majorGridlines/>
        <c:numFmt formatCode="#,##0" sourceLinked="0"/>
        <c:tickLblPos val="nextTo"/>
        <c:txPr>
          <a:bodyPr rot="-60000" vert="horz"/>
          <a:lstStyle/>
          <a:p>
            <a:pPr>
              <a:defRPr sz="900">
                <a:latin typeface="Arial" pitchFamily="34" charset="0"/>
                <a:cs typeface="Arial" pitchFamily="34" charset="0"/>
              </a:defRPr>
            </a:pPr>
            <a:endParaRPr lang="ar-SA"/>
          </a:p>
        </c:txPr>
        <c:crossAx val="166916096"/>
        <c:crosses val="autoZero"/>
        <c:crossBetween val="between"/>
        <c:majorUnit val="5000"/>
      </c:valAx>
    </c:plotArea>
    <c:legend>
      <c:legendPos val="r"/>
      <c:layout>
        <c:manualLayout>
          <c:xMode val="edge"/>
          <c:yMode val="edge"/>
          <c:x val="0.12439326841715709"/>
          <c:y val="2.1670508518707655E-2"/>
          <c:w val="0.76500437445321401"/>
          <c:h val="9.6130334305821338E-2"/>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dispBlanksAs val="gap"/>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7633968566965245E-2"/>
          <c:y val="0.16116232506509814"/>
          <c:w val="0.87354572986069068"/>
          <c:h val="0.74428848567842065"/>
        </c:manualLayout>
      </c:layout>
      <c:lineChart>
        <c:grouping val="standard"/>
        <c:ser>
          <c:idx val="0"/>
          <c:order val="0"/>
          <c:tx>
            <c:strRef>
              <c:f>Sheet1!$A$2</c:f>
              <c:strCache>
                <c:ptCount val="1"/>
                <c:pt idx="0">
                  <c:v>GNDI at current prices</c:v>
                </c:pt>
              </c:strCache>
            </c:strRef>
          </c:tx>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c:formatCode>
                <c:ptCount val="15"/>
                <c:pt idx="0">
                  <c:v>5555.8</c:v>
                </c:pt>
                <c:pt idx="1">
                  <c:v>6611.1</c:v>
                </c:pt>
                <c:pt idx="2">
                  <c:v>7061.9</c:v>
                </c:pt>
                <c:pt idx="3">
                  <c:v>8615</c:v>
                </c:pt>
                <c:pt idx="4">
                  <c:v>11171.3</c:v>
                </c:pt>
                <c:pt idx="5">
                  <c:v>10758.7</c:v>
                </c:pt>
                <c:pt idx="6">
                  <c:v>12271.6</c:v>
                </c:pt>
                <c:pt idx="7">
                  <c:v>13040.3</c:v>
                </c:pt>
                <c:pt idx="8">
                  <c:v>14816.199999999983</c:v>
                </c:pt>
                <c:pt idx="9">
                  <c:v>16253.699999999983</c:v>
                </c:pt>
                <c:pt idx="10">
                  <c:v>17138.3</c:v>
                </c:pt>
                <c:pt idx="11">
                  <c:v>17434.2</c:v>
                </c:pt>
                <c:pt idx="12">
                  <c:v>18927.5</c:v>
                </c:pt>
                <c:pt idx="13">
                  <c:v>19965.5</c:v>
                </c:pt>
                <c:pt idx="14">
                  <c:v>20563</c:v>
                </c:pt>
              </c:numCache>
            </c:numRef>
          </c:val>
          <c:extLst xmlns:c16r2="http://schemas.microsoft.com/office/drawing/2015/06/chart">
            <c:ext xmlns:c16="http://schemas.microsoft.com/office/drawing/2014/chart" uri="{C3380CC4-5D6E-409C-BE32-E72D297353CC}">
              <c16:uniqueId val="{00000000-14A7-463C-9F43-BDF47CC9FC06}"/>
            </c:ext>
          </c:extLst>
        </c:ser>
        <c:ser>
          <c:idx val="1"/>
          <c:order val="1"/>
          <c:tx>
            <c:strRef>
              <c:f>Sheet1!$A$3</c:f>
              <c:strCache>
                <c:ptCount val="1"/>
                <c:pt idx="0">
                  <c:v>GNDI at constant prices</c:v>
                </c:pt>
              </c:strCache>
            </c:strRef>
          </c:tx>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c:formatCode>
                <c:ptCount val="15"/>
                <c:pt idx="0">
                  <c:v>9550.9</c:v>
                </c:pt>
                <c:pt idx="1">
                  <c:v>11222.000000000002</c:v>
                </c:pt>
                <c:pt idx="2">
                  <c:v>11413.1</c:v>
                </c:pt>
                <c:pt idx="3">
                  <c:v>13274.8</c:v>
                </c:pt>
                <c:pt idx="4">
                  <c:v>15560.8</c:v>
                </c:pt>
                <c:pt idx="5">
                  <c:v>14735.1</c:v>
                </c:pt>
                <c:pt idx="6">
                  <c:v>13975.3</c:v>
                </c:pt>
                <c:pt idx="7">
                  <c:v>14149.600000000002</c:v>
                </c:pt>
                <c:pt idx="8">
                  <c:v>15640.900000000001</c:v>
                </c:pt>
                <c:pt idx="9">
                  <c:v>16270.7</c:v>
                </c:pt>
                <c:pt idx="10">
                  <c:v>16472.2</c:v>
                </c:pt>
                <c:pt idx="11">
                  <c:v>17434.2</c:v>
                </c:pt>
                <c:pt idx="12">
                  <c:v>18518</c:v>
                </c:pt>
                <c:pt idx="13">
                  <c:v>19026.100000000002</c:v>
                </c:pt>
                <c:pt idx="14">
                  <c:v>19608.599999999951</c:v>
                </c:pt>
              </c:numCache>
            </c:numRef>
          </c:val>
          <c:extLst xmlns:c16r2="http://schemas.microsoft.com/office/drawing/2015/06/chart">
            <c:ext xmlns:c16="http://schemas.microsoft.com/office/drawing/2014/chart" uri="{C3380CC4-5D6E-409C-BE32-E72D297353CC}">
              <c16:uniqueId val="{00000002-14A7-463C-9F43-BDF47CC9FC06}"/>
            </c:ext>
          </c:extLst>
        </c:ser>
        <c:marker val="1"/>
        <c:axId val="166959360"/>
        <c:axId val="166961152"/>
      </c:lineChart>
      <c:catAx>
        <c:axId val="166959360"/>
        <c:scaling>
          <c:orientation val="minMax"/>
        </c:scaling>
        <c:axPos val="b"/>
        <c:numFmt formatCode="General" sourceLinked="1"/>
        <c:tickLblPos val="nextTo"/>
        <c:txPr>
          <a:bodyPr rot="0" vert="horz"/>
          <a:lstStyle/>
          <a:p>
            <a:pPr>
              <a:defRPr sz="850"/>
            </a:pPr>
            <a:endParaRPr lang="ar-SA"/>
          </a:p>
        </c:txPr>
        <c:crossAx val="166961152"/>
        <c:crosses val="autoZero"/>
        <c:auto val="1"/>
        <c:lblAlgn val="ctr"/>
        <c:lblOffset val="50"/>
        <c:tickLblSkip val="1"/>
        <c:tickMarkSkip val="1"/>
      </c:catAx>
      <c:valAx>
        <c:axId val="166961152"/>
        <c:scaling>
          <c:orientation val="minMax"/>
          <c:max val="22000"/>
          <c:min val="0"/>
        </c:scaling>
        <c:axPos val="l"/>
        <c:majorGridlines/>
        <c:numFmt formatCode="#,##0" sourceLinked="0"/>
        <c:tickLblPos val="nextTo"/>
        <c:txPr>
          <a:bodyPr rot="-60000" vert="horz"/>
          <a:lstStyle/>
          <a:p>
            <a:pPr>
              <a:defRPr/>
            </a:pPr>
            <a:endParaRPr lang="ar-SA"/>
          </a:p>
        </c:txPr>
        <c:crossAx val="166959360"/>
        <c:crosses val="autoZero"/>
        <c:crossBetween val="between"/>
        <c:majorUnit val="4000"/>
      </c:valAx>
    </c:plotArea>
    <c:legend>
      <c:legendPos val="r"/>
      <c:layout>
        <c:manualLayout>
          <c:xMode val="edge"/>
          <c:yMode val="edge"/>
          <c:x val="0.16616811406292956"/>
          <c:y val="3.1304347826087056E-2"/>
          <c:w val="0.71247570040022867"/>
          <c:h val="0.10486985569491535"/>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a:pPr>
            <a:r>
              <a:rPr lang="en-US" sz="900"/>
              <a:t>Demand</a:t>
            </a:r>
          </a:p>
        </c:rich>
      </c:tx>
      <c:layout/>
    </c:title>
    <c:view3D>
      <c:perspective val="0"/>
    </c:view3D>
    <c:plotArea>
      <c:layout/>
      <c:pie3DChart>
        <c:varyColors val="1"/>
        <c:ser>
          <c:idx val="0"/>
          <c:order val="0"/>
          <c:explosion val="25"/>
          <c:dLbls>
            <c:dLbl>
              <c:idx val="0"/>
              <c:layout>
                <c:manualLayout>
                  <c:x val="-0.13194243103718095"/>
                  <c:y val="-0.20563620208952479"/>
                </c:manualLayout>
              </c:layout>
              <c:tx>
                <c:rich>
                  <a:bodyPr/>
                  <a:lstStyle/>
                  <a:p>
                    <a:r>
                      <a:rPr lang="en-US" sz="850"/>
                      <a:t>Intermedi-ate Consump-tion</a:t>
                    </a:r>
                  </a:p>
                  <a:p>
                    <a:r>
                      <a:rPr lang="en-US" sz="850"/>
                      <a:t>28.3%</a:t>
                    </a:r>
                  </a:p>
                </c:rich>
              </c:tx>
              <c:showVal val="1"/>
              <c:showCatName val="1"/>
            </c:dLbl>
            <c:dLbl>
              <c:idx val="1"/>
              <c:layout>
                <c:manualLayout>
                  <c:x val="0.32227807616763188"/>
                  <c:y val="6.9295015165905721E-2"/>
                </c:manualLayout>
              </c:layout>
              <c:tx>
                <c:rich>
                  <a:bodyPr/>
                  <a:lstStyle/>
                  <a:p>
                    <a:pPr>
                      <a:defRPr sz="800"/>
                    </a:pPr>
                    <a:r>
                      <a:rPr lang="en-US" sz="800"/>
                      <a:t>Final consumption</a:t>
                    </a:r>
                  </a:p>
                  <a:p>
                    <a:pPr>
                      <a:defRPr sz="800"/>
                    </a:pPr>
                    <a:r>
                      <a:rPr lang="en-US" sz="800"/>
                      <a:t>51.2%</a:t>
                    </a:r>
                  </a:p>
                </c:rich>
              </c:tx>
              <c:spPr>
                <a:noFill/>
                <a:ln>
                  <a:noFill/>
                </a:ln>
                <a:effectLst/>
              </c:spPr>
              <c:showCatName val="1"/>
            </c:dLbl>
            <c:dLbl>
              <c:idx val="2"/>
              <c:layout/>
              <c:tx>
                <c:rich>
                  <a:bodyPr/>
                  <a:lstStyle/>
                  <a:p>
                    <a:r>
                      <a:rPr lang="en-US" sz="850"/>
                      <a:t>Gross Capital Formation</a:t>
                    </a:r>
                  </a:p>
                  <a:p>
                    <a:r>
                      <a:rPr lang="en-US" sz="850"/>
                      <a:t>13.1%</a:t>
                    </a:r>
                  </a:p>
                </c:rich>
              </c:tx>
              <c:showCatName val="1"/>
            </c:dLbl>
            <c:dLbl>
              <c:idx val="3"/>
              <c:layout>
                <c:manualLayout>
                  <c:x val="5.9698597277989304E-2"/>
                  <c:y val="-0.15911067536791371"/>
                </c:manualLayout>
              </c:layout>
              <c:tx>
                <c:rich>
                  <a:bodyPr/>
                  <a:lstStyle/>
                  <a:p>
                    <a:r>
                      <a:rPr lang="en-US" sz="850"/>
                      <a:t>Exports 7.4%</a:t>
                    </a:r>
                  </a:p>
                </c:rich>
              </c:tx>
              <c:showCatName val="1"/>
            </c:dLbl>
            <c:spPr>
              <a:noFill/>
              <a:ln>
                <a:noFill/>
              </a:ln>
              <a:effectLst/>
            </c:spPr>
            <c:txPr>
              <a:bodyPr/>
              <a:lstStyle/>
              <a:p>
                <a:pPr>
                  <a:defRPr sz="850"/>
                </a:pPr>
                <a:endParaRPr lang="ar-SA"/>
              </a:p>
            </c:txPr>
            <c:showCatName val="1"/>
            <c:showLeaderLines val="1"/>
            <c:extLst xmlns:c16r2="http://schemas.microsoft.com/office/drawing/2015/06/chart">
              <c:ext xmlns:c15="http://schemas.microsoft.com/office/drawing/2012/chart" uri="{CE6537A1-D6FC-4f65-9D91-7224C49458BB}"/>
            </c:extLst>
          </c:dLbls>
          <c:val>
            <c:numRef>
              <c:f>Sheet1!$C$6:$C$9</c:f>
              <c:numCache>
                <c:formatCode>0.00%</c:formatCode>
                <c:ptCount val="4"/>
                <c:pt idx="0">
                  <c:v>0.31000000000000028</c:v>
                </c:pt>
                <c:pt idx="1">
                  <c:v>0.49000000000000027</c:v>
                </c:pt>
                <c:pt idx="2">
                  <c:v>0.13</c:v>
                </c:pt>
                <c:pt idx="3">
                  <c:v>7.0000000000000021E-2</c:v>
                </c:pt>
              </c:numCache>
            </c:numRef>
          </c:val>
          <c:extLst xmlns:c16r2="http://schemas.microsoft.com/office/drawing/2015/06/chart">
            <c:ext xmlns:c16="http://schemas.microsoft.com/office/drawing/2014/chart" uri="{C3380CC4-5D6E-409C-BE32-E72D297353CC}">
              <c16:uniqueId val="{00000004-BB3E-4DD4-A4E2-B582ED8DBDDA}"/>
            </c:ext>
          </c:extLst>
        </c:ser>
        <c:dLbls>
          <c:showCatName val="1"/>
        </c:dLbls>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en-US" sz="900" b="1"/>
              <a:t>Supply</a:t>
            </a:r>
            <a:endParaRPr lang="ar-SA" sz="900" b="1"/>
          </a:p>
        </c:rich>
      </c:tx>
      <c:layout>
        <c:manualLayout>
          <c:xMode val="edge"/>
          <c:yMode val="edge"/>
          <c:x val="0.40067989656274638"/>
          <c:y val="2.0161142647866691E-2"/>
        </c:manualLayout>
      </c:layout>
      <c:spPr>
        <a:noFill/>
        <a:ln w="25401">
          <a:noFill/>
        </a:ln>
      </c:spPr>
    </c:title>
    <c:view3D>
      <c:perspective val="0"/>
    </c:view3D>
    <c:plotArea>
      <c:layout>
        <c:manualLayout>
          <c:layoutTarget val="inner"/>
          <c:xMode val="edge"/>
          <c:yMode val="edge"/>
          <c:x val="6.767663267183853E-2"/>
          <c:y val="0.31451612903229353"/>
          <c:w val="0.79098042633971055"/>
          <c:h val="0.35787636301561726"/>
        </c:manualLayout>
      </c:layout>
      <c:pie3DChart>
        <c:varyColors val="1"/>
        <c:ser>
          <c:idx val="0"/>
          <c:order val="0"/>
          <c:tx>
            <c:strRef>
              <c:f>Sheet1!$A$13</c:f>
              <c:strCache>
                <c:ptCount val="1"/>
                <c:pt idx="0">
                  <c:v>SUPPLY</c:v>
                </c:pt>
              </c:strCache>
            </c:strRef>
          </c:tx>
          <c:explosion val="25"/>
          <c:dLbls>
            <c:dLbl>
              <c:idx val="0"/>
              <c:layout>
                <c:manualLayout>
                  <c:x val="-9.9674385720237429E-2"/>
                  <c:y val="0.12432921494569329"/>
                </c:manualLayout>
              </c:layout>
              <c:tx>
                <c:rich>
                  <a:bodyPr/>
                  <a:lstStyle/>
                  <a:p>
                    <a:r>
                      <a:rPr lang="en-US"/>
                      <a:t>Output 74.4%</a:t>
                    </a:r>
                  </a:p>
                </c:rich>
              </c:tx>
              <c:showVal val="1"/>
              <c:showSerName val="1"/>
            </c:dLbl>
            <c:dLbl>
              <c:idx val="1"/>
              <c:layout>
                <c:manualLayout>
                  <c:x val="7.50307503075031E-2"/>
                  <c:y val="-0.1186304760685415"/>
                </c:manualLayout>
              </c:layout>
              <c:tx>
                <c:rich>
                  <a:bodyPr/>
                  <a:lstStyle/>
                  <a:p>
                    <a:r>
                      <a:rPr lang="en-US"/>
                      <a:t>Imports 25.6%</a:t>
                    </a:r>
                  </a:p>
                </c:rich>
              </c:tx>
              <c:showVal val="1"/>
              <c:showSerName val="1"/>
            </c:dLbl>
            <c:showVal val="1"/>
            <c:showSerName val="1"/>
            <c:showLeaderLines val="1"/>
          </c:dLbls>
          <c:cat>
            <c:strRef>
              <c:f>Sheet1!$A$2:$A$3</c:f>
              <c:strCache>
                <c:ptCount val="2"/>
                <c:pt idx="0">
                  <c:v>Output</c:v>
                </c:pt>
                <c:pt idx="1">
                  <c:v>Imports</c:v>
                </c:pt>
              </c:strCache>
            </c:strRef>
          </c:cat>
          <c:val>
            <c:numRef>
              <c:f>Sheet1!$B$2:$B$3</c:f>
              <c:numCache>
                <c:formatCode>0.0%</c:formatCode>
                <c:ptCount val="2"/>
                <c:pt idx="0">
                  <c:v>0.74233680645778755</c:v>
                </c:pt>
                <c:pt idx="1">
                  <c:v>0.25766319354221578</c:v>
                </c:pt>
              </c:numCache>
            </c:numRef>
          </c:val>
          <c:extLst xmlns:c16r2="http://schemas.microsoft.com/office/drawing/2015/06/chart">
            <c:ext xmlns:c16="http://schemas.microsoft.com/office/drawing/2014/chart" uri="{C3380CC4-5D6E-409C-BE32-E72D297353CC}">
              <c16:uniqueId val="{00000002-7B1A-4D9F-B61D-1AE282903288}"/>
            </c:ext>
          </c:extLst>
        </c:ser>
      </c:pie3DChart>
      <c:spPr>
        <a:noFill/>
        <a:ln w="25401">
          <a:noFill/>
        </a:ln>
      </c:spPr>
    </c:plotArea>
    <c:plotVisOnly val="1"/>
    <c:dispBlanksAs val="zero"/>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454489261384308E-2"/>
          <c:y val="0.19132549877514649"/>
          <c:w val="0.86849073891586814"/>
          <c:h val="0.6217758335763931"/>
        </c:manualLayout>
      </c:layout>
      <c:lineChart>
        <c:grouping val="standard"/>
        <c:ser>
          <c:idx val="0"/>
          <c:order val="0"/>
          <c:tx>
            <c:strRef>
              <c:f>Sheet1!$A$2</c:f>
              <c:strCache>
                <c:ptCount val="1"/>
                <c:pt idx="0">
                  <c:v>GDP Per Capita</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extLst xmlns:c16r2="http://schemas.microsoft.com/office/drawing/2015/06/chart">
              <c:ext xmlns:c16="http://schemas.microsoft.com/office/drawing/2014/chart" uri="{C3380CC4-5D6E-409C-BE32-E72D297353CC}">
                <c16:uniqueId val="{00000000-0CFD-427C-A9CB-A2AE40956191}"/>
              </c:ext>
            </c:extLst>
          </c:dPt>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c:formatCode>
                <c:ptCount val="15"/>
                <c:pt idx="0">
                  <c:v>2463.6</c:v>
                </c:pt>
                <c:pt idx="1">
                  <c:v>2659.2</c:v>
                </c:pt>
                <c:pt idx="2">
                  <c:v>2553.3000000000002</c:v>
                </c:pt>
                <c:pt idx="3">
                  <c:v>2570</c:v>
                </c:pt>
                <c:pt idx="4">
                  <c:v>2686.9</c:v>
                </c:pt>
                <c:pt idx="5">
                  <c:v>2841.9</c:v>
                </c:pt>
                <c:pt idx="6">
                  <c:v>2929.8</c:v>
                </c:pt>
                <c:pt idx="7">
                  <c:v>3131.6</c:v>
                </c:pt>
                <c:pt idx="8">
                  <c:v>3242.1</c:v>
                </c:pt>
                <c:pt idx="9">
                  <c:v>3314.5</c:v>
                </c:pt>
                <c:pt idx="10">
                  <c:v>3233</c:v>
                </c:pt>
                <c:pt idx="11">
                  <c:v>3277.9</c:v>
                </c:pt>
                <c:pt idx="12">
                  <c:v>3489.8</c:v>
                </c:pt>
                <c:pt idx="13">
                  <c:v>3463.1</c:v>
                </c:pt>
                <c:pt idx="14">
                  <c:v>3417.7</c:v>
                </c:pt>
              </c:numCache>
            </c:numRef>
          </c:val>
          <c:extLst xmlns:c16r2="http://schemas.microsoft.com/office/drawing/2015/06/chart">
            <c:ext xmlns:c16="http://schemas.microsoft.com/office/drawing/2014/chart" uri="{C3380CC4-5D6E-409C-BE32-E72D297353CC}">
              <c16:uniqueId val="{00000001-0CFD-427C-A9CB-A2AE40956191}"/>
            </c:ext>
          </c:extLst>
        </c:ser>
        <c:ser>
          <c:idx val="1"/>
          <c:order val="1"/>
          <c:tx>
            <c:strRef>
              <c:f>Sheet1!$A$3</c:f>
              <c:strCache>
                <c:ptCount val="1"/>
                <c:pt idx="0">
                  <c:v>GNI Per Capita</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c:formatCode>
                <c:ptCount val="15"/>
                <c:pt idx="0">
                  <c:v>2624.5</c:v>
                </c:pt>
                <c:pt idx="1">
                  <c:v>2867.1</c:v>
                </c:pt>
                <c:pt idx="2">
                  <c:v>2790.7</c:v>
                </c:pt>
                <c:pt idx="3">
                  <c:v>2838.5</c:v>
                </c:pt>
                <c:pt idx="4">
                  <c:v>3007</c:v>
                </c:pt>
                <c:pt idx="5">
                  <c:v>3119.1</c:v>
                </c:pt>
                <c:pt idx="6">
                  <c:v>3137.2</c:v>
                </c:pt>
                <c:pt idx="7">
                  <c:v>3365.6</c:v>
                </c:pt>
                <c:pt idx="8">
                  <c:v>3498.3</c:v>
                </c:pt>
                <c:pt idx="9">
                  <c:v>3624.7</c:v>
                </c:pt>
                <c:pt idx="10">
                  <c:v>3579.9</c:v>
                </c:pt>
                <c:pt idx="11">
                  <c:v>3679.6</c:v>
                </c:pt>
                <c:pt idx="12">
                  <c:v>3878.4</c:v>
                </c:pt>
                <c:pt idx="13">
                  <c:v>3890.6</c:v>
                </c:pt>
                <c:pt idx="14">
                  <c:v>3966.1</c:v>
                </c:pt>
              </c:numCache>
            </c:numRef>
          </c:val>
          <c:extLst xmlns:c16r2="http://schemas.microsoft.com/office/drawing/2015/06/chart">
            <c:ext xmlns:c16="http://schemas.microsoft.com/office/drawing/2014/chart" uri="{C3380CC4-5D6E-409C-BE32-E72D297353CC}">
              <c16:uniqueId val="{00000002-0CFD-427C-A9CB-A2AE40956191}"/>
            </c:ext>
          </c:extLst>
        </c:ser>
        <c:ser>
          <c:idx val="2"/>
          <c:order val="2"/>
          <c:tx>
            <c:strRef>
              <c:f>Sheet1!$A$4</c:f>
              <c:strCache>
                <c:ptCount val="1"/>
                <c:pt idx="0">
                  <c:v>GNDI Per Capita</c:v>
                </c:pt>
              </c:strCache>
            </c:strRef>
          </c:tx>
          <c:spPr>
            <a:ln w="12700">
              <a:solidFill>
                <a:srgbClr val="00642D"/>
              </a:solidFill>
              <a:headEnd w="sm" len="med"/>
            </a:ln>
          </c:spPr>
          <c:marker>
            <c:symbol val="triangle"/>
            <c:size val="4"/>
            <c:spPr>
              <a:ln w="9525">
                <a:solidFill>
                  <a:srgbClr val="00642D"/>
                </a:solidFill>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Sheet1!$B$4:$P$4</c:f>
              <c:numCache>
                <c:formatCode>#,##0.0</c:formatCode>
                <c:ptCount val="15"/>
                <c:pt idx="0">
                  <c:v>2996.1</c:v>
                </c:pt>
                <c:pt idx="1">
                  <c:v>3414.3</c:v>
                </c:pt>
                <c:pt idx="2">
                  <c:v>3367.7</c:v>
                </c:pt>
                <c:pt idx="3">
                  <c:v>3798.8</c:v>
                </c:pt>
                <c:pt idx="4">
                  <c:v>4333.6000000000004</c:v>
                </c:pt>
                <c:pt idx="5">
                  <c:v>3996.8</c:v>
                </c:pt>
                <c:pt idx="6">
                  <c:v>3694.5</c:v>
                </c:pt>
                <c:pt idx="7">
                  <c:v>3648.1</c:v>
                </c:pt>
                <c:pt idx="8">
                  <c:v>3935</c:v>
                </c:pt>
                <c:pt idx="9">
                  <c:v>3997</c:v>
                </c:pt>
                <c:pt idx="10">
                  <c:v>3953.3</c:v>
                </c:pt>
                <c:pt idx="11">
                  <c:v>4090.1</c:v>
                </c:pt>
                <c:pt idx="12">
                  <c:v>4248.5</c:v>
                </c:pt>
                <c:pt idx="13">
                  <c:v>4271.1000000000004</c:v>
                </c:pt>
                <c:pt idx="14">
                  <c:v>4291.5</c:v>
                </c:pt>
              </c:numCache>
            </c:numRef>
          </c:val>
          <c:extLst xmlns:c16r2="http://schemas.microsoft.com/office/drawing/2015/06/chart">
            <c:ext xmlns:c16="http://schemas.microsoft.com/office/drawing/2014/chart" uri="{C3380CC4-5D6E-409C-BE32-E72D297353CC}">
              <c16:uniqueId val="{00000003-0CFD-427C-A9CB-A2AE40956191}"/>
            </c:ext>
          </c:extLst>
        </c:ser>
        <c:marker val="1"/>
        <c:axId val="167291904"/>
        <c:axId val="167302272"/>
      </c:lineChart>
      <c:catAx>
        <c:axId val="167291904"/>
        <c:scaling>
          <c:orientation val="minMax"/>
        </c:scaling>
        <c:axPos val="b"/>
        <c:numFmt formatCode="General" sourceLinked="1"/>
        <c:tickLblPos val="nextTo"/>
        <c:spPr>
          <a:ln w="3175">
            <a:solidFill>
              <a:srgbClr val="000000"/>
            </a:solidFill>
            <a:prstDash val="solid"/>
          </a:ln>
        </c:spPr>
        <c:txPr>
          <a:bodyPr rot="0" vert="horz"/>
          <a:lstStyle/>
          <a:p>
            <a:pPr>
              <a:defRPr sz="850" baseline="0"/>
            </a:pPr>
            <a:endParaRPr lang="ar-SA"/>
          </a:p>
        </c:txPr>
        <c:crossAx val="167302272"/>
        <c:crosses val="autoZero"/>
        <c:auto val="1"/>
        <c:lblAlgn val="ctr"/>
        <c:lblOffset val="100"/>
        <c:tickLblSkip val="1"/>
        <c:tickMarkSkip val="1"/>
      </c:catAx>
      <c:valAx>
        <c:axId val="167302272"/>
        <c:scaling>
          <c:orientation val="minMax"/>
          <c:min val="0"/>
        </c:scaling>
        <c:axPos val="l"/>
        <c:majorGridlines>
          <c:spPr>
            <a:ln w="3175">
              <a:solidFill>
                <a:schemeClr val="bg1">
                  <a:lumMod val="75000"/>
                </a:schemeClr>
              </a:solidFill>
              <a:prstDash val="solid"/>
              <a:round/>
            </a:ln>
          </c:spPr>
        </c:majorGridlines>
        <c:numFmt formatCode="#,##0" sourceLinked="0"/>
        <c:tickLblPos val="nextTo"/>
        <c:spPr>
          <a:ln w="3175">
            <a:solidFill>
              <a:srgbClr val="000000"/>
            </a:solidFill>
            <a:prstDash val="solid"/>
          </a:ln>
        </c:spPr>
        <c:txPr>
          <a:bodyPr rot="0" vert="horz"/>
          <a:lstStyle/>
          <a:p>
            <a:pPr>
              <a:defRPr baseline="0"/>
            </a:pPr>
            <a:endParaRPr lang="ar-SA"/>
          </a:p>
        </c:txPr>
        <c:crossAx val="167291904"/>
        <c:crosses val="autoZero"/>
        <c:crossBetween val="between"/>
        <c:majorUnit val="1000"/>
      </c:valAx>
      <c:spPr>
        <a:ln w="12700">
          <a:noFill/>
          <a:prstDash val="solid"/>
        </a:ln>
      </c:spPr>
    </c:plotArea>
    <c:legend>
      <c:legendPos val="r"/>
      <c:layout>
        <c:manualLayout>
          <c:xMode val="edge"/>
          <c:yMode val="edge"/>
          <c:x val="5.0948066233111183E-2"/>
          <c:y val="3.1668147325728882E-2"/>
          <c:w val="0.89833444890963177"/>
          <c:h val="0.12087701886265297"/>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view3D>
      <c:rotX val="30"/>
      <c:rotY val="360"/>
      <c:perspective val="30"/>
    </c:view3D>
    <c:plotArea>
      <c:layout>
        <c:manualLayout>
          <c:layoutTarget val="inner"/>
          <c:xMode val="edge"/>
          <c:yMode val="edge"/>
          <c:x val="9.861111111111108E-2"/>
          <c:y val="0.1053847216466368"/>
          <c:w val="0.76889437079330625"/>
          <c:h val="0.74625717983639706"/>
        </c:manualLayout>
      </c:layout>
      <c:pie3DChart>
        <c:varyColors val="1"/>
        <c:ser>
          <c:idx val="0"/>
          <c:order val="0"/>
          <c:spPr>
            <a:ln w="28575">
              <a:solidFill>
                <a:schemeClr val="tx1"/>
              </a:solidFill>
            </a:ln>
          </c:spPr>
          <c:explosion val="25"/>
          <c:dPt>
            <c:idx val="2"/>
            <c:spPr>
              <a:solidFill>
                <a:schemeClr val="accent2">
                  <a:lumMod val="75000"/>
                </a:schemeClr>
              </a:solidFill>
              <a:ln w="28575">
                <a:solidFill>
                  <a:schemeClr val="tx1"/>
                </a:solidFill>
              </a:ln>
            </c:spPr>
          </c:dPt>
          <c:dPt>
            <c:idx val="4"/>
            <c:spPr>
              <a:solidFill>
                <a:schemeClr val="accent2">
                  <a:lumMod val="20000"/>
                  <a:lumOff val="80000"/>
                </a:schemeClr>
              </a:solidFill>
              <a:ln w="28575">
                <a:solidFill>
                  <a:schemeClr val="tx1"/>
                </a:solidFill>
              </a:ln>
            </c:spPr>
          </c:dPt>
          <c:dLbls>
            <c:dLbl>
              <c:idx val="0"/>
              <c:layout>
                <c:manualLayout>
                  <c:x val="2.3432086614173384E-2"/>
                  <c:y val="-2.5892465196236437E-2"/>
                </c:manualLayout>
              </c:layout>
              <c:tx>
                <c:rich>
                  <a:bodyPr/>
                  <a:lstStyle/>
                  <a:p>
                    <a:r>
                      <a:rPr lang="en-US" sz="900">
                        <a:latin typeface="Arial" pitchFamily="34" charset="0"/>
                        <a:cs typeface="Arial" pitchFamily="34" charset="0"/>
                      </a:rPr>
                      <a:t>H</a:t>
                    </a:r>
                    <a:r>
                      <a:rPr lang="en-US"/>
                      <a:t>ousehold
</a:t>
                    </a:r>
                    <a:r>
                      <a:rPr lang="ar-SA"/>
                      <a:t>27.2</a:t>
                    </a:r>
                    <a:r>
                      <a:rPr lang="en-US"/>
                      <a:t>%</a:t>
                    </a:r>
                  </a:p>
                </c:rich>
              </c:tx>
              <c:showCatName val="1"/>
              <c:showPercent val="1"/>
            </c:dLbl>
            <c:dLbl>
              <c:idx val="1"/>
              <c:layout>
                <c:manualLayout>
                  <c:x val="0.39750349956255737"/>
                  <c:y val="-2.3820355788859812E-2"/>
                </c:manualLayout>
              </c:layout>
              <c:tx>
                <c:rich>
                  <a:bodyPr/>
                  <a:lstStyle/>
                  <a:p>
                    <a:r>
                      <a:rPr lang="en-US" sz="900">
                        <a:latin typeface="Arial" pitchFamily="34" charset="0"/>
                        <a:cs typeface="Arial" pitchFamily="34" charset="0"/>
                      </a:rPr>
                      <a:t>N</a:t>
                    </a:r>
                    <a:r>
                      <a:rPr lang="en-US"/>
                      <a:t>on- Financial enterprises 
</a:t>
                    </a:r>
                    <a:r>
                      <a:rPr lang="ar-SA"/>
                      <a:t>51.7</a:t>
                    </a:r>
                    <a:r>
                      <a:rPr lang="en-US"/>
                      <a:t>%</a:t>
                    </a:r>
                  </a:p>
                </c:rich>
              </c:tx>
              <c:showCatName val="1"/>
              <c:showPercent val="1"/>
            </c:dLbl>
            <c:dLbl>
              <c:idx val="2"/>
              <c:tx>
                <c:rich>
                  <a:bodyPr/>
                  <a:lstStyle/>
                  <a:p>
                    <a:r>
                      <a:rPr lang="en-US" sz="900">
                        <a:latin typeface="Arial" pitchFamily="34" charset="0"/>
                        <a:cs typeface="Arial" pitchFamily="34" charset="0"/>
                      </a:rPr>
                      <a:t>F</a:t>
                    </a:r>
                    <a:r>
                      <a:rPr lang="en-US"/>
                      <a:t>inancial enterprises 
</a:t>
                    </a:r>
                    <a:r>
                      <a:rPr lang="ar-SA"/>
                      <a:t>4.8</a:t>
                    </a:r>
                    <a:r>
                      <a:rPr lang="en-US"/>
                      <a:t>%</a:t>
                    </a:r>
                  </a:p>
                </c:rich>
              </c:tx>
              <c:showCatName val="1"/>
              <c:showPercent val="1"/>
            </c:dLbl>
            <c:dLbl>
              <c:idx val="3"/>
              <c:layout>
                <c:manualLayout>
                  <c:x val="1.7167541557305335E-2"/>
                  <c:y val="-4.8918665868520832E-2"/>
                </c:manualLayout>
              </c:layout>
              <c:tx>
                <c:rich>
                  <a:bodyPr/>
                  <a:lstStyle/>
                  <a:p>
                    <a:r>
                      <a:rPr lang="en-US" sz="900">
                        <a:latin typeface="Arial" pitchFamily="34" charset="0"/>
                        <a:cs typeface="Arial" pitchFamily="34" charset="0"/>
                      </a:rPr>
                      <a:t>G</a:t>
                    </a:r>
                    <a:r>
                      <a:rPr lang="en-US"/>
                      <a:t>eneral government
</a:t>
                    </a:r>
                    <a:r>
                      <a:rPr lang="ar-SA"/>
                      <a:t>13.2</a:t>
                    </a:r>
                    <a:r>
                      <a:rPr lang="en-US"/>
                      <a:t>%</a:t>
                    </a:r>
                  </a:p>
                </c:rich>
              </c:tx>
              <c:showCatName val="1"/>
              <c:showPercent val="1"/>
            </c:dLbl>
            <c:dLbl>
              <c:idx val="4"/>
              <c:layout>
                <c:manualLayout>
                  <c:x val="9.1091426071741068E-3"/>
                  <c:y val="4.8732943469785572E-3"/>
                </c:manualLayout>
              </c:layout>
              <c:tx>
                <c:rich>
                  <a:bodyPr/>
                  <a:lstStyle/>
                  <a:p>
                    <a:r>
                      <a:rPr lang="en-US" sz="900">
                        <a:latin typeface="Arial" pitchFamily="34" charset="0"/>
                        <a:cs typeface="Arial" pitchFamily="34" charset="0"/>
                      </a:rPr>
                      <a:t>N</a:t>
                    </a:r>
                    <a:r>
                      <a:rPr lang="en-US"/>
                      <a:t>PISH
</a:t>
                    </a:r>
                    <a:r>
                      <a:rPr lang="ar-SA"/>
                      <a:t>3.1</a:t>
                    </a:r>
                    <a:r>
                      <a:rPr lang="en-US"/>
                      <a:t>%</a:t>
                    </a:r>
                  </a:p>
                </c:rich>
              </c:tx>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Sheet1!$J$13:$J$17</c:f>
              <c:strCache>
                <c:ptCount val="5"/>
                <c:pt idx="0">
                  <c:v>Household</c:v>
                </c:pt>
                <c:pt idx="1">
                  <c:v>Non- Financial enterprises </c:v>
                </c:pt>
                <c:pt idx="2">
                  <c:v>Financial enterprises </c:v>
                </c:pt>
                <c:pt idx="3">
                  <c:v>General government</c:v>
                </c:pt>
                <c:pt idx="4">
                  <c:v>NPISH</c:v>
                </c:pt>
              </c:strCache>
            </c:strRef>
          </c:cat>
          <c:val>
            <c:numRef>
              <c:f>Sheet1!$K$13:$K$17</c:f>
              <c:numCache>
                <c:formatCode>0.0</c:formatCode>
                <c:ptCount val="5"/>
                <c:pt idx="0" formatCode="#,##0.0">
                  <c:v>26.4</c:v>
                </c:pt>
                <c:pt idx="1">
                  <c:v>52.3</c:v>
                </c:pt>
                <c:pt idx="2">
                  <c:v>4.9000000000000004</c:v>
                </c:pt>
                <c:pt idx="3">
                  <c:v>13.3</c:v>
                </c:pt>
                <c:pt idx="4">
                  <c:v>3.1</c:v>
                </c:pt>
              </c:numCache>
            </c:numRef>
          </c:val>
        </c:ser>
        <c:dLbls>
          <c:showCatName val="1"/>
          <c:showPercent val="1"/>
        </c:dLbls>
      </c:pie3D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9B73E-9D57-42D9-9458-06E9C628E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14</Pages>
  <Words>4566</Words>
  <Characters>26027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rmasoud</cp:lastModifiedBy>
  <cp:revision>49</cp:revision>
  <cp:lastPrinted>2019-12-11T10:06:00Z</cp:lastPrinted>
  <dcterms:created xsi:type="dcterms:W3CDTF">2019-12-11T06:41:00Z</dcterms:created>
  <dcterms:modified xsi:type="dcterms:W3CDTF">2019-12-24T10:36:00Z</dcterms:modified>
</cp:coreProperties>
</file>