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88" w:rsidRPr="00227340" w:rsidRDefault="00132815" w:rsidP="00132815">
      <w:pPr>
        <w:pStyle w:val="Header"/>
        <w:tabs>
          <w:tab w:val="left" w:pos="3282"/>
        </w:tabs>
        <w:rPr>
          <w:rFonts w:cs="Simplified Arabic"/>
          <w:b/>
          <w:bCs/>
          <w:sz w:val="36"/>
          <w:szCs w:val="36"/>
          <w:rtl/>
        </w:rPr>
      </w:pPr>
      <w:r w:rsidRPr="00227340">
        <w:rPr>
          <w:rFonts w:cs="Simplified Arabic"/>
          <w:b/>
          <w:bCs/>
          <w:sz w:val="36"/>
          <w:szCs w:val="36"/>
          <w:rtl/>
        </w:rPr>
        <w:tab/>
      </w:r>
      <w:r w:rsidRPr="00227340">
        <w:rPr>
          <w:rFonts w:cs="Simplified Arabic"/>
          <w:b/>
          <w:bCs/>
          <w:sz w:val="36"/>
          <w:szCs w:val="36"/>
          <w:rtl/>
        </w:rPr>
        <w:tab/>
      </w:r>
    </w:p>
    <w:p w:rsidR="00DF5E7B" w:rsidRPr="00227340" w:rsidRDefault="000911A8" w:rsidP="00DF5E7B">
      <w:pPr>
        <w:pStyle w:val="Head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د.</w:t>
      </w:r>
      <w:r w:rsidR="00DF5E7B" w:rsidRPr="00227340">
        <w:rPr>
          <w:rFonts w:cs="Simplified Arabic" w:hint="cs"/>
          <w:b/>
          <w:bCs/>
          <w:sz w:val="32"/>
          <w:szCs w:val="32"/>
          <w:rtl/>
        </w:rPr>
        <w:t xml:space="preserve"> عـوض، رئـيـس الإحـصـاء الفلـسـطـيـنـي تـسـتـعـرض</w:t>
      </w:r>
    </w:p>
    <w:p w:rsidR="00DF5E7B" w:rsidRPr="00227340" w:rsidRDefault="00DF5E7B" w:rsidP="00DF5E7B">
      <w:pPr>
        <w:tabs>
          <w:tab w:val="left" w:pos="2994"/>
        </w:tabs>
        <w:jc w:val="both"/>
        <w:rPr>
          <w:rtl/>
        </w:rPr>
      </w:pPr>
      <w:r w:rsidRPr="00227340">
        <w:rPr>
          <w:rtl/>
        </w:rPr>
        <w:tab/>
      </w:r>
    </w:p>
    <w:p w:rsidR="00DF5E7B" w:rsidRPr="00227340" w:rsidRDefault="00DF5E7B" w:rsidP="00783E2E">
      <w:pPr>
        <w:pStyle w:val="Title"/>
        <w:numPr>
          <w:ilvl w:val="0"/>
          <w:numId w:val="40"/>
        </w:numPr>
        <w:spacing w:after="60"/>
        <w:jc w:val="left"/>
        <w:outlineLvl w:val="0"/>
        <w:rPr>
          <w:sz w:val="28"/>
          <w:szCs w:val="28"/>
          <w:rtl/>
        </w:rPr>
      </w:pPr>
      <w:r w:rsidRPr="00227340">
        <w:rPr>
          <w:rFonts w:hint="cs"/>
          <w:sz w:val="28"/>
          <w:szCs w:val="28"/>
          <w:rtl/>
        </w:rPr>
        <w:t xml:space="preserve">أداء الاقتصاد الفلسطيني خلال عام </w:t>
      </w:r>
      <w:r w:rsidR="00783E2E" w:rsidRPr="00227340">
        <w:rPr>
          <w:sz w:val="28"/>
          <w:szCs w:val="28"/>
        </w:rPr>
        <w:t>2018</w:t>
      </w:r>
      <w:r w:rsidRPr="00227340">
        <w:rPr>
          <w:rFonts w:hint="cs"/>
          <w:sz w:val="28"/>
          <w:szCs w:val="28"/>
          <w:rtl/>
        </w:rPr>
        <w:t xml:space="preserve"> ‏</w:t>
      </w:r>
    </w:p>
    <w:p w:rsidR="00DF5E7B" w:rsidRPr="00227340" w:rsidRDefault="00DF5E7B" w:rsidP="00783E2E">
      <w:pPr>
        <w:pStyle w:val="Title"/>
        <w:numPr>
          <w:ilvl w:val="0"/>
          <w:numId w:val="40"/>
        </w:numPr>
        <w:spacing w:after="60"/>
        <w:jc w:val="left"/>
        <w:outlineLvl w:val="0"/>
        <w:rPr>
          <w:sz w:val="28"/>
          <w:szCs w:val="28"/>
          <w:rtl/>
        </w:rPr>
      </w:pPr>
      <w:r w:rsidRPr="00227340">
        <w:rPr>
          <w:rFonts w:hint="cs"/>
          <w:sz w:val="28"/>
          <w:szCs w:val="28"/>
          <w:rtl/>
        </w:rPr>
        <w:t xml:space="preserve">التنبؤات الاقتصادية للعام </w:t>
      </w:r>
      <w:r w:rsidR="00783E2E" w:rsidRPr="00227340">
        <w:rPr>
          <w:sz w:val="28"/>
          <w:szCs w:val="28"/>
        </w:rPr>
        <w:t>2019</w:t>
      </w:r>
    </w:p>
    <w:p w:rsidR="00DF5E7B" w:rsidRPr="00227340" w:rsidRDefault="00DF5E7B" w:rsidP="00DF5E7B">
      <w:pPr>
        <w:tabs>
          <w:tab w:val="left" w:pos="2671"/>
        </w:tabs>
        <w:rPr>
          <w:sz w:val="28"/>
          <w:szCs w:val="28"/>
          <w:lang w:eastAsia="en-US"/>
        </w:rPr>
      </w:pPr>
      <w:r w:rsidRPr="00227340">
        <w:rPr>
          <w:sz w:val="28"/>
          <w:szCs w:val="28"/>
          <w:rtl/>
          <w:lang w:eastAsia="en-US"/>
        </w:rPr>
        <w:tab/>
      </w:r>
    </w:p>
    <w:p w:rsidR="00DF5E7B" w:rsidRPr="00227340" w:rsidRDefault="00DF5E7B" w:rsidP="000911A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3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استعرضت </w:t>
      </w:r>
      <w:r w:rsidR="000911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معالي السيدة د.</w:t>
      </w:r>
      <w:r w:rsidRPr="002273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 عوض، رئيس الإحصاء الفلسطيني، اليوم </w:t>
      </w:r>
      <w:r w:rsidR="000911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الاثنين</w:t>
      </w:r>
      <w:r w:rsidRPr="002273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911A8">
        <w:rPr>
          <w:rFonts w:ascii="Simplified Arabic" w:hAnsi="Simplified Arabic" w:cs="Simplified Arabic"/>
          <w:b/>
          <w:bCs/>
          <w:sz w:val="28"/>
          <w:szCs w:val="28"/>
        </w:rPr>
        <w:t>24</w:t>
      </w:r>
      <w:r w:rsidRPr="00227340">
        <w:rPr>
          <w:rFonts w:ascii="Simplified Arabic" w:hAnsi="Simplified Arabic" w:cs="Simplified Arabic"/>
          <w:b/>
          <w:bCs/>
          <w:sz w:val="28"/>
          <w:szCs w:val="28"/>
          <w:rtl/>
        </w:rPr>
        <w:t>/12/</w:t>
      </w:r>
      <w:r w:rsidR="00783E2E" w:rsidRPr="00227340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Pr="002273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أداء الاقتصاد الفلسطيني خلال عام </w:t>
      </w:r>
      <w:r w:rsidR="00783E2E" w:rsidRPr="00227340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Pr="002273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بالإضافة إلى التنبؤات الاقتصادية لعام </w:t>
      </w:r>
      <w:r w:rsidR="00783E2E" w:rsidRPr="00227340">
        <w:rPr>
          <w:rFonts w:ascii="Simplified Arabic" w:hAnsi="Simplified Arabic" w:cs="Simplified Arabic"/>
          <w:b/>
          <w:bCs/>
          <w:sz w:val="28"/>
          <w:szCs w:val="28"/>
        </w:rPr>
        <w:t>2019</w:t>
      </w:r>
      <w:r w:rsidRPr="00227340">
        <w:rPr>
          <w:rFonts w:ascii="Simplified Arabic" w:hAnsi="Simplified Arabic" w:cs="Simplified Arabic"/>
          <w:b/>
          <w:bCs/>
          <w:sz w:val="28"/>
          <w:szCs w:val="28"/>
          <w:rtl/>
        </w:rPr>
        <w:t>، وذلك على النحو الآتي:</w:t>
      </w:r>
    </w:p>
    <w:p w:rsidR="00C61C09" w:rsidRPr="00227340" w:rsidRDefault="00C61C09" w:rsidP="00DF5E7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B57AF" w:rsidRPr="00227340" w:rsidRDefault="00B44649" w:rsidP="0053566F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227340">
        <w:rPr>
          <w:rFonts w:ascii="Simplified Arabic" w:hAnsi="Simplified Arabic" w:cs="Simplified Arabic"/>
          <w:b/>
          <w:bCs/>
          <w:sz w:val="28"/>
          <w:szCs w:val="28"/>
          <w:rtl/>
        </w:rPr>
        <w:t>أداء الاقتصاد</w:t>
      </w:r>
      <w:r w:rsidR="00CF1B0D" w:rsidRPr="00227340">
        <w:rPr>
          <w:rStyle w:val="FootnoteReference"/>
          <w:rFonts w:ascii="Simplified Arabic" w:hAnsi="Simplified Arabic"/>
          <w:b w:val="0"/>
          <w:bCs w:val="0"/>
          <w:color w:val="auto"/>
          <w:sz w:val="28"/>
          <w:szCs w:val="28"/>
          <w:rtl/>
        </w:rPr>
        <w:footnoteReference w:id="1"/>
      </w:r>
      <w:r w:rsidRPr="002273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27340">
        <w:rPr>
          <w:rFonts w:ascii="Simplified Arabic" w:hAnsi="Simplified Arabic" w:cs="Simplified Arabic"/>
          <w:b/>
          <w:bCs/>
          <w:sz w:val="28"/>
          <w:szCs w:val="28"/>
          <w:rtl/>
        </w:rPr>
        <w:t>الفلسطيني خلال عام</w:t>
      </w:r>
      <w:r w:rsidRPr="002273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3566F" w:rsidRPr="00227340">
        <w:rPr>
          <w:rFonts w:ascii="Simplified Arabic" w:hAnsi="Simplified Arabic" w:cs="Simplified Arabic"/>
          <w:b/>
          <w:bCs/>
          <w:sz w:val="28"/>
          <w:szCs w:val="28"/>
        </w:rPr>
        <w:t>2018</w:t>
      </w:r>
    </w:p>
    <w:p w:rsidR="006E445E" w:rsidRPr="00227340" w:rsidRDefault="00F85A2C" w:rsidP="00DF5E7B">
      <w:pPr>
        <w:tabs>
          <w:tab w:val="left" w:pos="5088"/>
        </w:tabs>
        <w:bidi w:val="0"/>
        <w:rPr>
          <w:rFonts w:ascii="Simplified Arabic" w:hAnsi="Simplified Arabic" w:cs="Simplified Arabic"/>
          <w:b/>
          <w:bCs/>
          <w:rtl/>
        </w:rPr>
      </w:pPr>
      <w:r w:rsidRPr="00227340">
        <w:rPr>
          <w:rFonts w:ascii="Simplified Arabic" w:hAnsi="Simplified Arabic" w:cs="Simplified Arabic"/>
          <w:b/>
          <w:bCs/>
        </w:rPr>
        <w:tab/>
      </w:r>
    </w:p>
    <w:p w:rsidR="00D8055D" w:rsidRPr="00227340" w:rsidRDefault="00D8055D" w:rsidP="00C84E0B">
      <w:pPr>
        <w:jc w:val="center"/>
        <w:rPr>
          <w:rFonts w:cs="Simplified Arabic"/>
          <w:b/>
          <w:bCs/>
          <w:rtl/>
        </w:rPr>
      </w:pPr>
      <w:r w:rsidRPr="00227340">
        <w:rPr>
          <w:rFonts w:cs="Simplified Arabic" w:hint="cs"/>
          <w:b/>
          <w:bCs/>
          <w:rtl/>
        </w:rPr>
        <w:t xml:space="preserve">إنخفاض حاد في الناتج المحلي الإجمالي </w:t>
      </w:r>
      <w:r w:rsidR="00C84E0B">
        <w:rPr>
          <w:rFonts w:cs="Simplified Arabic" w:hint="cs"/>
          <w:b/>
          <w:bCs/>
          <w:rtl/>
        </w:rPr>
        <w:t>ل</w:t>
      </w:r>
      <w:r w:rsidRPr="00227340">
        <w:rPr>
          <w:rFonts w:cs="Simplified Arabic" w:hint="cs"/>
          <w:b/>
          <w:bCs/>
          <w:rtl/>
        </w:rPr>
        <w:t>قطاع غزة</w:t>
      </w:r>
      <w:r w:rsidR="00C84E0B">
        <w:rPr>
          <w:rFonts w:cs="Simplified Arabic" w:hint="cs"/>
          <w:b/>
          <w:bCs/>
          <w:rtl/>
        </w:rPr>
        <w:t xml:space="preserve"> ب 8% قابله ارتفاع في الضفة الغربية بنسبة 2.3%</w:t>
      </w:r>
      <w:r w:rsidRPr="00227340">
        <w:rPr>
          <w:rFonts w:cs="Simplified Arabic" w:hint="cs"/>
          <w:b/>
          <w:bCs/>
          <w:rtl/>
        </w:rPr>
        <w:t xml:space="preserve"> خلال الأرباع الثلاثة الأولى من عام 2018 </w:t>
      </w:r>
      <w:r w:rsidR="00C84E0B">
        <w:rPr>
          <w:rFonts w:cs="Simplified Arabic" w:hint="cs"/>
          <w:b/>
          <w:bCs/>
          <w:rtl/>
        </w:rPr>
        <w:t xml:space="preserve">مقارنة بالارباع المناظرة من عام 2017 </w:t>
      </w:r>
    </w:p>
    <w:p w:rsidR="00D8055D" w:rsidRPr="00227340" w:rsidRDefault="00D8055D" w:rsidP="00D8055D">
      <w:pPr>
        <w:tabs>
          <w:tab w:val="left" w:pos="5088"/>
        </w:tabs>
        <w:rPr>
          <w:rFonts w:ascii="Simplified Arabic" w:hAnsi="Simplified Arabic" w:cs="Simplified Arabic"/>
          <w:b/>
          <w:bCs/>
          <w:rtl/>
        </w:rPr>
      </w:pPr>
    </w:p>
    <w:p w:rsidR="00D8055D" w:rsidRPr="00227340" w:rsidRDefault="00B35BE1" w:rsidP="00FA6B25">
      <w:pPr>
        <w:jc w:val="both"/>
        <w:rPr>
          <w:rFonts w:cs="Simplified Arabic"/>
        </w:rPr>
      </w:pPr>
      <w:r w:rsidRPr="00227340">
        <w:rPr>
          <w:rFonts w:cs="Simplified Arabic" w:hint="cs"/>
          <w:rtl/>
        </w:rPr>
        <w:t>أشارت</w:t>
      </w:r>
      <w:r w:rsidR="000E2710" w:rsidRPr="00227340">
        <w:rPr>
          <w:rFonts w:cs="Simplified Arabic" w:hint="cs"/>
          <w:rtl/>
        </w:rPr>
        <w:t xml:space="preserve"> </w:t>
      </w:r>
      <w:r w:rsidR="00D573F8" w:rsidRPr="00227340">
        <w:rPr>
          <w:rFonts w:cs="Simplified Arabic" w:hint="cs"/>
          <w:rtl/>
        </w:rPr>
        <w:t>التقديرات الأ</w:t>
      </w:r>
      <w:r w:rsidR="008B0838" w:rsidRPr="00227340">
        <w:rPr>
          <w:rFonts w:cs="Simplified Arabic" w:hint="cs"/>
          <w:rtl/>
        </w:rPr>
        <w:t xml:space="preserve">ولية </w:t>
      </w:r>
      <w:r w:rsidR="00391F83" w:rsidRPr="00227340">
        <w:rPr>
          <w:rFonts w:cs="Simplified Arabic" w:hint="cs"/>
          <w:rtl/>
        </w:rPr>
        <w:t>إ</w:t>
      </w:r>
      <w:r w:rsidR="008B0838" w:rsidRPr="00227340">
        <w:rPr>
          <w:rFonts w:cs="Simplified Arabic" w:hint="cs"/>
          <w:rtl/>
        </w:rPr>
        <w:t xml:space="preserve">لى </w:t>
      </w:r>
      <w:r w:rsidR="00D96906" w:rsidRPr="00227340">
        <w:rPr>
          <w:rFonts w:cs="Simplified Arabic" w:hint="cs"/>
          <w:rtl/>
        </w:rPr>
        <w:t>حدوث تباطؤ في نمو</w:t>
      </w:r>
      <w:r w:rsidR="008B0838" w:rsidRPr="00227340">
        <w:rPr>
          <w:rFonts w:cs="Simplified Arabic" w:hint="cs"/>
          <w:rtl/>
        </w:rPr>
        <w:t xml:space="preserve"> </w:t>
      </w:r>
      <w:r w:rsidR="00CC3C27" w:rsidRPr="00227340">
        <w:rPr>
          <w:rFonts w:cs="Simplified Arabic" w:hint="cs"/>
          <w:rtl/>
        </w:rPr>
        <w:t>الناتج المحلي الإجمالي</w:t>
      </w:r>
      <w:r w:rsidR="002D6035" w:rsidRPr="00227340">
        <w:rPr>
          <w:rFonts w:cs="Simplified Arabic" w:hint="cs"/>
          <w:rtl/>
        </w:rPr>
        <w:t xml:space="preserve"> في فلسطين</w:t>
      </w:r>
      <w:r w:rsidR="00D96906" w:rsidRPr="00227340">
        <w:rPr>
          <w:rFonts w:cs="Simplified Arabic" w:hint="cs"/>
          <w:rtl/>
        </w:rPr>
        <w:t xml:space="preserve"> عام 2018 ليصل إلى</w:t>
      </w:r>
      <w:r w:rsidR="00CC3C27" w:rsidRPr="00227340">
        <w:rPr>
          <w:rFonts w:cs="Simplified Arabic" w:hint="cs"/>
          <w:rtl/>
        </w:rPr>
        <w:t xml:space="preserve"> </w:t>
      </w:r>
      <w:r w:rsidR="00132815" w:rsidRPr="00227340">
        <w:rPr>
          <w:rFonts w:cs="Simplified Arabic" w:hint="cs"/>
          <w:rtl/>
        </w:rPr>
        <w:t>0.7</w:t>
      </w:r>
      <w:r w:rsidR="00CC3C27" w:rsidRPr="00227340">
        <w:rPr>
          <w:rFonts w:cs="Simplified Arabic" w:hint="cs"/>
          <w:rtl/>
        </w:rPr>
        <w:t xml:space="preserve">% مقارنة مع </w:t>
      </w:r>
      <w:r w:rsidR="00D96906" w:rsidRPr="00227340">
        <w:rPr>
          <w:rFonts w:cs="Simplified Arabic" w:hint="cs"/>
          <w:rtl/>
        </w:rPr>
        <w:t xml:space="preserve">3% </w:t>
      </w:r>
      <w:r w:rsidR="00CC3C27" w:rsidRPr="00227340">
        <w:rPr>
          <w:rFonts w:cs="Simplified Arabic" w:hint="cs"/>
          <w:rtl/>
        </w:rPr>
        <w:t xml:space="preserve">عام </w:t>
      </w:r>
      <w:r w:rsidR="0053566F" w:rsidRPr="00227340">
        <w:rPr>
          <w:rFonts w:cs="Simplified Arabic"/>
        </w:rPr>
        <w:t>2017</w:t>
      </w:r>
      <w:r w:rsidR="000452C8" w:rsidRPr="00227340">
        <w:rPr>
          <w:rFonts w:cs="Simplified Arabic" w:hint="cs"/>
          <w:rtl/>
        </w:rPr>
        <w:t xml:space="preserve">، </w:t>
      </w:r>
      <w:r w:rsidR="00A01ABD" w:rsidRPr="00227340">
        <w:rPr>
          <w:rFonts w:cs="Simplified Arabic" w:hint="cs"/>
          <w:rtl/>
        </w:rPr>
        <w:t>نتج عن</w:t>
      </w:r>
      <w:r w:rsidR="00FA6B25" w:rsidRPr="00227340">
        <w:rPr>
          <w:rFonts w:cs="Simplified Arabic" w:hint="cs"/>
          <w:rtl/>
        </w:rPr>
        <w:t xml:space="preserve">ه </w:t>
      </w:r>
      <w:r w:rsidR="00132815" w:rsidRPr="00227340">
        <w:rPr>
          <w:rFonts w:cs="Simplified Arabic" w:hint="cs"/>
          <w:rtl/>
        </w:rPr>
        <w:t>انخفاض</w:t>
      </w:r>
      <w:r w:rsidR="00FA6B25" w:rsidRPr="00227340">
        <w:rPr>
          <w:rFonts w:cs="Simplified Arabic" w:hint="cs"/>
          <w:rtl/>
        </w:rPr>
        <w:t xml:space="preserve"> نصيب الفرد </w:t>
      </w:r>
      <w:r w:rsidR="006324AD" w:rsidRPr="00227340">
        <w:rPr>
          <w:rFonts w:cs="Simplified Arabic" w:hint="cs"/>
          <w:rtl/>
        </w:rPr>
        <w:t xml:space="preserve">بنسبة </w:t>
      </w:r>
      <w:r w:rsidR="00976A45" w:rsidRPr="00227340">
        <w:rPr>
          <w:rFonts w:cs="Simplified Arabic" w:hint="cs"/>
          <w:rtl/>
        </w:rPr>
        <w:t>1.5</w:t>
      </w:r>
      <w:r w:rsidR="00D8055D" w:rsidRPr="00227340">
        <w:rPr>
          <w:rFonts w:cs="Simplified Arabic" w:hint="cs"/>
          <w:rtl/>
        </w:rPr>
        <w:t xml:space="preserve">%، </w:t>
      </w:r>
      <w:r w:rsidR="00FA6B25" w:rsidRPr="00227340">
        <w:rPr>
          <w:rFonts w:cs="Simplified Arabic" w:hint="cs"/>
          <w:rtl/>
        </w:rPr>
        <w:t>حيث شهدت</w:t>
      </w:r>
      <w:r w:rsidR="00D8055D" w:rsidRPr="00227340">
        <w:rPr>
          <w:rFonts w:cs="Simplified Arabic" w:hint="cs"/>
          <w:rtl/>
        </w:rPr>
        <w:t xml:space="preserve"> </w:t>
      </w:r>
      <w:r w:rsidR="00DC5971" w:rsidRPr="00227340">
        <w:rPr>
          <w:rFonts w:cs="Simplified Arabic" w:hint="cs"/>
          <w:rtl/>
        </w:rPr>
        <w:t>الارباع الثلاثة الأ</w:t>
      </w:r>
      <w:r w:rsidR="00D8055D" w:rsidRPr="00227340">
        <w:rPr>
          <w:rFonts w:cs="Simplified Arabic" w:hint="cs"/>
          <w:rtl/>
        </w:rPr>
        <w:t xml:space="preserve">ولى من عام 2018 تراجع الناتج المحلي الإجمالي في قطاع غزة بنسبة </w:t>
      </w:r>
      <w:r w:rsidR="00D8055D" w:rsidRPr="00227340">
        <w:rPr>
          <w:rFonts w:cs="Simplified Arabic"/>
        </w:rPr>
        <w:t>8</w:t>
      </w:r>
      <w:r w:rsidR="00D8055D" w:rsidRPr="00227340">
        <w:rPr>
          <w:rFonts w:cs="Simplified Arabic" w:hint="cs"/>
          <w:rtl/>
        </w:rPr>
        <w:t xml:space="preserve">% مقارنة مع الأرباع المناظرة من عام 2017، </w:t>
      </w:r>
      <w:r w:rsidR="00FA6B25" w:rsidRPr="00227340">
        <w:rPr>
          <w:rFonts w:cs="Simplified Arabic" w:hint="cs"/>
          <w:rtl/>
        </w:rPr>
        <w:t>بالمقابل إرتفع الناتج المحلي الإجمالي</w:t>
      </w:r>
      <w:r w:rsidR="00D8055D" w:rsidRPr="00227340">
        <w:rPr>
          <w:rFonts w:cs="Simplified Arabic" w:hint="cs"/>
          <w:rtl/>
        </w:rPr>
        <w:t xml:space="preserve"> </w:t>
      </w:r>
      <w:r w:rsidR="00FA6B25" w:rsidRPr="00227340">
        <w:rPr>
          <w:rFonts w:cs="Simplified Arabic" w:hint="cs"/>
          <w:rtl/>
        </w:rPr>
        <w:t xml:space="preserve">في الضفة الغربية بنسبة </w:t>
      </w:r>
      <w:r w:rsidR="00D8055D" w:rsidRPr="00227340">
        <w:rPr>
          <w:rFonts w:cs="Simplified Arabic" w:hint="cs"/>
          <w:rtl/>
        </w:rPr>
        <w:t>2.3%</w:t>
      </w:r>
      <w:r w:rsidR="00FA6B25" w:rsidRPr="00227340">
        <w:rPr>
          <w:rFonts w:cs="Simplified Arabic" w:hint="cs"/>
          <w:rtl/>
        </w:rPr>
        <w:t xml:space="preserve"> خلال نفس الفترة.</w:t>
      </w:r>
    </w:p>
    <w:p w:rsidR="005A2CAC" w:rsidRPr="00227340" w:rsidRDefault="00043A12" w:rsidP="00043A12">
      <w:pPr>
        <w:tabs>
          <w:tab w:val="left" w:pos="3151"/>
        </w:tabs>
        <w:jc w:val="both"/>
        <w:rPr>
          <w:rFonts w:cs="Simplified Arabic"/>
          <w:rtl/>
        </w:rPr>
      </w:pPr>
      <w:r w:rsidRPr="00227340">
        <w:rPr>
          <w:rFonts w:cs="Simplified Arabic"/>
          <w:rtl/>
        </w:rPr>
        <w:tab/>
      </w:r>
    </w:p>
    <w:p w:rsidR="00132815" w:rsidRPr="00227340" w:rsidRDefault="004D56CC" w:rsidP="00705CAE">
      <w:pPr>
        <w:jc w:val="both"/>
        <w:rPr>
          <w:rFonts w:cs="Simplified Arabic"/>
          <w:rtl/>
        </w:rPr>
      </w:pPr>
      <w:r w:rsidRPr="00227340">
        <w:rPr>
          <w:rFonts w:cs="Simplified Arabic" w:hint="cs"/>
          <w:rtl/>
        </w:rPr>
        <w:t>وشهدت</w:t>
      </w:r>
      <w:r w:rsidR="00CC3C27" w:rsidRPr="00227340">
        <w:rPr>
          <w:rFonts w:cs="Simplified Arabic" w:hint="cs"/>
          <w:rtl/>
        </w:rPr>
        <w:t xml:space="preserve"> </w:t>
      </w:r>
      <w:r w:rsidR="00373421" w:rsidRPr="00227340">
        <w:rPr>
          <w:rFonts w:cs="Simplified Arabic" w:hint="cs"/>
          <w:rtl/>
        </w:rPr>
        <w:t xml:space="preserve">أنشطة </w:t>
      </w:r>
      <w:r w:rsidR="00976A45" w:rsidRPr="00227340">
        <w:rPr>
          <w:rFonts w:cs="Simplified Arabic" w:hint="cs"/>
          <w:rtl/>
        </w:rPr>
        <w:t>الصناعة</w:t>
      </w:r>
      <w:r w:rsidR="00373421" w:rsidRPr="00227340">
        <w:rPr>
          <w:rFonts w:cs="Simplified Arabic" w:hint="cs"/>
          <w:rtl/>
        </w:rPr>
        <w:t xml:space="preserve"> أعلى إرتفاع</w:t>
      </w:r>
      <w:r w:rsidR="00CC3C27" w:rsidRPr="00227340">
        <w:rPr>
          <w:rFonts w:cs="Simplified Arabic" w:hint="cs"/>
          <w:rtl/>
        </w:rPr>
        <w:t xml:space="preserve"> </w:t>
      </w:r>
      <w:r w:rsidR="00ED5745" w:rsidRPr="00227340">
        <w:rPr>
          <w:rFonts w:cs="Simplified Arabic" w:hint="cs"/>
          <w:rtl/>
        </w:rPr>
        <w:t>في القيمة المضافة</w:t>
      </w:r>
      <w:r w:rsidR="00373421" w:rsidRPr="00227340">
        <w:rPr>
          <w:rFonts w:cs="Simplified Arabic" w:hint="cs"/>
          <w:rtl/>
        </w:rPr>
        <w:t xml:space="preserve"> </w:t>
      </w:r>
      <w:r w:rsidR="000D7580" w:rsidRPr="00227340">
        <w:rPr>
          <w:rFonts w:cs="Simplified Arabic" w:hint="cs"/>
          <w:rtl/>
        </w:rPr>
        <w:t>مقارنة مع عام 2017</w:t>
      </w:r>
      <w:r w:rsidR="00ED5745" w:rsidRPr="00227340">
        <w:rPr>
          <w:rFonts w:cs="Simplified Arabic" w:hint="cs"/>
          <w:rtl/>
        </w:rPr>
        <w:t>،</w:t>
      </w:r>
      <w:r w:rsidR="004A7223" w:rsidRPr="00227340">
        <w:rPr>
          <w:rFonts w:cs="Simplified Arabic" w:hint="cs"/>
          <w:rtl/>
        </w:rPr>
        <w:t xml:space="preserve"> حيث بينت التقديرات الأولية إلى أن</w:t>
      </w:r>
      <w:r w:rsidR="00373421" w:rsidRPr="00227340">
        <w:rPr>
          <w:rFonts w:cs="Simplified Arabic" w:hint="cs"/>
          <w:rtl/>
        </w:rPr>
        <w:t>ها</w:t>
      </w:r>
      <w:r w:rsidR="004A7223" w:rsidRPr="00227340">
        <w:rPr>
          <w:rFonts w:cs="Simplified Arabic" w:hint="cs"/>
          <w:rtl/>
        </w:rPr>
        <w:t xml:space="preserve"> سجل</w:t>
      </w:r>
      <w:r w:rsidR="00373421" w:rsidRPr="00227340">
        <w:rPr>
          <w:rFonts w:cs="Simplified Arabic" w:hint="cs"/>
          <w:rtl/>
        </w:rPr>
        <w:t>ت</w:t>
      </w:r>
      <w:r w:rsidR="004A7223" w:rsidRPr="00227340">
        <w:rPr>
          <w:rFonts w:cs="Simplified Arabic" w:hint="cs"/>
          <w:rtl/>
        </w:rPr>
        <w:t xml:space="preserve"> ارتفاعاً بنسبة </w:t>
      </w:r>
      <w:r w:rsidR="00132815" w:rsidRPr="00227340">
        <w:rPr>
          <w:rFonts w:cs="Simplified Arabic" w:hint="cs"/>
          <w:rtl/>
        </w:rPr>
        <w:t>5</w:t>
      </w:r>
      <w:r w:rsidR="004A7223" w:rsidRPr="00227340">
        <w:rPr>
          <w:rFonts w:cs="Simplified Arabic" w:hint="cs"/>
          <w:rtl/>
        </w:rPr>
        <w:t>%</w:t>
      </w:r>
      <w:r w:rsidR="00C430DA" w:rsidRPr="00227340">
        <w:rPr>
          <w:rFonts w:cs="Simplified Arabic" w:hint="cs"/>
          <w:rtl/>
        </w:rPr>
        <w:t xml:space="preserve">، </w:t>
      </w:r>
      <w:r w:rsidRPr="00227340">
        <w:rPr>
          <w:rFonts w:cs="Simplified Arabic" w:hint="cs"/>
          <w:rtl/>
        </w:rPr>
        <w:t xml:space="preserve">رافقه إرتفاع </w:t>
      </w:r>
      <w:r w:rsidR="00854969" w:rsidRPr="00227340">
        <w:rPr>
          <w:rFonts w:cs="Simplified Arabic" w:hint="cs"/>
          <w:rtl/>
        </w:rPr>
        <w:t xml:space="preserve">عدد العاملين بنسبة </w:t>
      </w:r>
      <w:r w:rsidR="00976A45" w:rsidRPr="00227340">
        <w:rPr>
          <w:rFonts w:cs="Simplified Arabic" w:hint="cs"/>
          <w:rtl/>
        </w:rPr>
        <w:t>6</w:t>
      </w:r>
      <w:r w:rsidR="00854969" w:rsidRPr="00227340">
        <w:rPr>
          <w:rFonts w:cs="Simplified Arabic" w:hint="cs"/>
          <w:rtl/>
        </w:rPr>
        <w:t>%،</w:t>
      </w:r>
      <w:r w:rsidR="006324AD" w:rsidRPr="00227340">
        <w:rPr>
          <w:rFonts w:cs="Simplified Arabic" w:hint="cs"/>
          <w:rtl/>
        </w:rPr>
        <w:t xml:space="preserve"> </w:t>
      </w:r>
      <w:r w:rsidR="00976A45" w:rsidRPr="00227340">
        <w:rPr>
          <w:rFonts w:cs="Simplified Arabic" w:hint="cs"/>
          <w:rtl/>
        </w:rPr>
        <w:t xml:space="preserve">تلاها أنشطة الزراعة بنسبة 4% وأنشطة الإنشاءات </w:t>
      </w:r>
      <w:r w:rsidR="00A71523" w:rsidRPr="00227340">
        <w:rPr>
          <w:rFonts w:cs="Simplified Arabic" w:hint="cs"/>
          <w:rtl/>
        </w:rPr>
        <w:t xml:space="preserve">بنسبة 0.7%، </w:t>
      </w:r>
      <w:r w:rsidR="00132815" w:rsidRPr="00227340">
        <w:rPr>
          <w:rFonts w:cs="Simplified Arabic" w:hint="cs"/>
          <w:rtl/>
        </w:rPr>
        <w:t>بينما انخفضت القيمة المضافة لأنشطة الخدمات والفروع الأخرى</w:t>
      </w:r>
      <w:r w:rsidR="006324AD" w:rsidRPr="00227340">
        <w:rPr>
          <w:rFonts w:cs="Simplified Arabic" w:hint="cs"/>
          <w:rtl/>
        </w:rPr>
        <w:t xml:space="preserve"> </w:t>
      </w:r>
      <w:r w:rsidR="00132815" w:rsidRPr="00227340">
        <w:rPr>
          <w:rFonts w:cs="Simplified Arabic" w:hint="cs"/>
          <w:rtl/>
        </w:rPr>
        <w:t xml:space="preserve">بنسبة </w:t>
      </w:r>
      <w:r w:rsidR="00A71523" w:rsidRPr="00227340">
        <w:rPr>
          <w:rFonts w:cs="Simplified Arabic" w:hint="cs"/>
          <w:rtl/>
        </w:rPr>
        <w:t>1%</w:t>
      </w:r>
      <w:r w:rsidR="00132815" w:rsidRPr="00227340">
        <w:rPr>
          <w:rFonts w:cs="Simplified Arabic" w:hint="cs"/>
          <w:rtl/>
        </w:rPr>
        <w:t xml:space="preserve"> مقارنة بعام 2017.</w:t>
      </w:r>
    </w:p>
    <w:p w:rsidR="006324AD" w:rsidRPr="00227340" w:rsidRDefault="006324AD" w:rsidP="00854969">
      <w:pPr>
        <w:jc w:val="both"/>
        <w:rPr>
          <w:rFonts w:cs="Simplified Arabic"/>
          <w:rtl/>
        </w:rPr>
      </w:pPr>
    </w:p>
    <w:p w:rsidR="00A710B6" w:rsidRPr="00155F31" w:rsidRDefault="002F6E99" w:rsidP="00A003ED">
      <w:pPr>
        <w:pStyle w:val="Heading1"/>
        <w:jc w:val="left"/>
        <w:rPr>
          <w:rtl/>
        </w:rPr>
      </w:pPr>
      <w:r w:rsidRPr="00155F31">
        <w:rPr>
          <w:rFonts w:hint="cs"/>
          <w:rtl/>
        </w:rPr>
        <w:t>إرتفاع عدد العاملين</w:t>
      </w:r>
      <w:r w:rsidR="00103148" w:rsidRPr="00155F31">
        <w:rPr>
          <w:rFonts w:hint="cs"/>
          <w:rtl/>
        </w:rPr>
        <w:t xml:space="preserve"> </w:t>
      </w:r>
      <w:r w:rsidR="00D87825" w:rsidRPr="00155F31">
        <w:rPr>
          <w:rFonts w:hint="cs"/>
          <w:rtl/>
        </w:rPr>
        <w:t xml:space="preserve">في </w:t>
      </w:r>
      <w:r w:rsidR="00A710B6" w:rsidRPr="00155F31">
        <w:rPr>
          <w:rFonts w:hint="cs"/>
          <w:rtl/>
        </w:rPr>
        <w:t>سوق العمل</w:t>
      </w:r>
      <w:r w:rsidR="002510F9" w:rsidRPr="00155F31">
        <w:rPr>
          <w:rFonts w:hint="cs"/>
          <w:rtl/>
        </w:rPr>
        <w:t xml:space="preserve"> </w:t>
      </w:r>
      <w:r w:rsidR="00D87825" w:rsidRPr="00155F31">
        <w:rPr>
          <w:rFonts w:hint="cs"/>
          <w:rtl/>
        </w:rPr>
        <w:t>خلال عام 2018</w:t>
      </w:r>
      <w:r w:rsidR="002510F9" w:rsidRPr="00155F31">
        <w:rPr>
          <w:rFonts w:hint="cs"/>
          <w:rtl/>
        </w:rPr>
        <w:t>، وتباين في نسب البطالة بين الضفة الغربية وقطاع غزة</w:t>
      </w:r>
    </w:p>
    <w:p w:rsidR="002510F9" w:rsidRPr="00227340" w:rsidRDefault="00A003ED" w:rsidP="00A003ED">
      <w:pPr>
        <w:tabs>
          <w:tab w:val="left" w:pos="1750"/>
        </w:tabs>
        <w:rPr>
          <w:rtl/>
        </w:rPr>
      </w:pPr>
      <w:r w:rsidRPr="00227340">
        <w:rPr>
          <w:rtl/>
        </w:rPr>
        <w:tab/>
      </w:r>
    </w:p>
    <w:p w:rsidR="00221EB0" w:rsidRPr="00227340" w:rsidRDefault="00103148" w:rsidP="00343D54">
      <w:pPr>
        <w:pStyle w:val="Heading1"/>
        <w:jc w:val="both"/>
        <w:rPr>
          <w:b w:val="0"/>
          <w:bCs w:val="0"/>
          <w:rtl/>
        </w:rPr>
      </w:pPr>
      <w:r w:rsidRPr="00227340">
        <w:rPr>
          <w:rFonts w:hint="cs"/>
          <w:b w:val="0"/>
          <w:bCs w:val="0"/>
          <w:rtl/>
        </w:rPr>
        <w:t>أ</w:t>
      </w:r>
      <w:r w:rsidR="00A710B6" w:rsidRPr="00227340">
        <w:rPr>
          <w:rFonts w:hint="cs"/>
          <w:b w:val="0"/>
          <w:bCs w:val="0"/>
          <w:rtl/>
        </w:rPr>
        <w:t>شارت التقديرات ال</w:t>
      </w:r>
      <w:r w:rsidRPr="00227340">
        <w:rPr>
          <w:rFonts w:hint="cs"/>
          <w:b w:val="0"/>
          <w:bCs w:val="0"/>
          <w:rtl/>
        </w:rPr>
        <w:t>أ</w:t>
      </w:r>
      <w:r w:rsidR="00A710B6" w:rsidRPr="00227340">
        <w:rPr>
          <w:rFonts w:hint="cs"/>
          <w:b w:val="0"/>
          <w:bCs w:val="0"/>
          <w:rtl/>
        </w:rPr>
        <w:t xml:space="preserve">ولية </w:t>
      </w:r>
      <w:r w:rsidR="00A8023E" w:rsidRPr="00227340">
        <w:rPr>
          <w:rFonts w:hint="cs"/>
          <w:b w:val="0"/>
          <w:bCs w:val="0"/>
          <w:rtl/>
        </w:rPr>
        <w:t>إ</w:t>
      </w:r>
      <w:r w:rsidR="00A710B6" w:rsidRPr="00227340">
        <w:rPr>
          <w:rFonts w:hint="cs"/>
          <w:b w:val="0"/>
          <w:bCs w:val="0"/>
          <w:rtl/>
        </w:rPr>
        <w:t xml:space="preserve">لى </w:t>
      </w:r>
      <w:r w:rsidR="00D87825" w:rsidRPr="00227340">
        <w:rPr>
          <w:rFonts w:hint="cs"/>
          <w:b w:val="0"/>
          <w:bCs w:val="0"/>
          <w:rtl/>
        </w:rPr>
        <w:t>إ</w:t>
      </w:r>
      <w:r w:rsidR="001E08F8" w:rsidRPr="00227340">
        <w:rPr>
          <w:rFonts w:hint="cs"/>
          <w:b w:val="0"/>
          <w:bCs w:val="0"/>
          <w:rtl/>
        </w:rPr>
        <w:t>رتفاع</w:t>
      </w:r>
      <w:r w:rsidR="003475FB" w:rsidRPr="00227340">
        <w:rPr>
          <w:rFonts w:hint="cs"/>
          <w:b w:val="0"/>
          <w:bCs w:val="0"/>
          <w:rtl/>
        </w:rPr>
        <w:t xml:space="preserve"> </w:t>
      </w:r>
      <w:r w:rsidR="00134915" w:rsidRPr="00227340">
        <w:rPr>
          <w:rFonts w:hint="cs"/>
          <w:b w:val="0"/>
          <w:bCs w:val="0"/>
          <w:rtl/>
        </w:rPr>
        <w:t xml:space="preserve">إجمالي عدد العاملين </w:t>
      </w:r>
      <w:r w:rsidR="0069456C" w:rsidRPr="00227340">
        <w:rPr>
          <w:rFonts w:hint="cs"/>
          <w:b w:val="0"/>
          <w:bCs w:val="0"/>
          <w:rtl/>
        </w:rPr>
        <w:t xml:space="preserve">في </w:t>
      </w:r>
      <w:r w:rsidR="00A710B6" w:rsidRPr="00227340">
        <w:rPr>
          <w:rFonts w:hint="cs"/>
          <w:b w:val="0"/>
          <w:bCs w:val="0"/>
          <w:rtl/>
        </w:rPr>
        <w:t xml:space="preserve">سوق العمل </w:t>
      </w:r>
      <w:r w:rsidR="009F45FD" w:rsidRPr="00227340">
        <w:rPr>
          <w:rFonts w:hint="cs"/>
          <w:b w:val="0"/>
          <w:bCs w:val="0"/>
          <w:rtl/>
        </w:rPr>
        <w:t xml:space="preserve">عام 2018 </w:t>
      </w:r>
      <w:r w:rsidR="001E08F8" w:rsidRPr="00227340">
        <w:rPr>
          <w:rFonts w:hint="cs"/>
          <w:b w:val="0"/>
          <w:bCs w:val="0"/>
          <w:rtl/>
        </w:rPr>
        <w:t xml:space="preserve">بنسبة </w:t>
      </w:r>
      <w:r w:rsidR="002510F9" w:rsidRPr="00227340">
        <w:rPr>
          <w:rFonts w:hint="cs"/>
          <w:b w:val="0"/>
          <w:bCs w:val="0"/>
          <w:rtl/>
        </w:rPr>
        <w:t>2</w:t>
      </w:r>
      <w:r w:rsidR="001E08F8" w:rsidRPr="00227340">
        <w:rPr>
          <w:rFonts w:hint="cs"/>
          <w:b w:val="0"/>
          <w:bCs w:val="0"/>
          <w:rtl/>
        </w:rPr>
        <w:t>%</w:t>
      </w:r>
      <w:r w:rsidR="0069456C" w:rsidRPr="00227340">
        <w:rPr>
          <w:rFonts w:hint="cs"/>
          <w:b w:val="0"/>
          <w:bCs w:val="0"/>
          <w:rtl/>
        </w:rPr>
        <w:t xml:space="preserve"> </w:t>
      </w:r>
      <w:r w:rsidR="00134915" w:rsidRPr="00227340">
        <w:rPr>
          <w:rFonts w:hint="cs"/>
          <w:b w:val="0"/>
          <w:bCs w:val="0"/>
          <w:rtl/>
        </w:rPr>
        <w:t xml:space="preserve">مقارنة مع عام </w:t>
      </w:r>
      <w:r w:rsidR="000D7580" w:rsidRPr="00227340">
        <w:rPr>
          <w:rFonts w:hint="cs"/>
          <w:b w:val="0"/>
          <w:bCs w:val="0"/>
          <w:rtl/>
        </w:rPr>
        <w:t>2017</w:t>
      </w:r>
      <w:r w:rsidR="00134915" w:rsidRPr="00227340">
        <w:rPr>
          <w:rFonts w:hint="cs"/>
          <w:b w:val="0"/>
          <w:bCs w:val="0"/>
          <w:rtl/>
        </w:rPr>
        <w:t>،</w:t>
      </w:r>
      <w:r w:rsidR="003475FB" w:rsidRPr="00227340">
        <w:rPr>
          <w:rFonts w:hint="cs"/>
          <w:b w:val="0"/>
          <w:bCs w:val="0"/>
          <w:rtl/>
        </w:rPr>
        <w:t xml:space="preserve"> </w:t>
      </w:r>
      <w:r w:rsidR="001E08F8" w:rsidRPr="00227340">
        <w:rPr>
          <w:rFonts w:hint="cs"/>
          <w:b w:val="0"/>
          <w:bCs w:val="0"/>
          <w:rtl/>
        </w:rPr>
        <w:t xml:space="preserve">ويعزى </w:t>
      </w:r>
      <w:r w:rsidR="000D7580" w:rsidRPr="00227340">
        <w:rPr>
          <w:rFonts w:hint="cs"/>
          <w:b w:val="0"/>
          <w:bCs w:val="0"/>
          <w:rtl/>
        </w:rPr>
        <w:t xml:space="preserve">هذا </w:t>
      </w:r>
      <w:r w:rsidR="001E08F8" w:rsidRPr="00227340">
        <w:rPr>
          <w:rFonts w:hint="cs"/>
          <w:b w:val="0"/>
          <w:bCs w:val="0"/>
          <w:rtl/>
        </w:rPr>
        <w:t>ال</w:t>
      </w:r>
      <w:r w:rsidR="00B66A2C" w:rsidRPr="00227340">
        <w:rPr>
          <w:rFonts w:hint="cs"/>
          <w:b w:val="0"/>
          <w:bCs w:val="0"/>
          <w:rtl/>
        </w:rPr>
        <w:t>إ</w:t>
      </w:r>
      <w:r w:rsidR="001E08F8" w:rsidRPr="00227340">
        <w:rPr>
          <w:rFonts w:hint="cs"/>
          <w:b w:val="0"/>
          <w:bCs w:val="0"/>
          <w:rtl/>
        </w:rPr>
        <w:t>رت</w:t>
      </w:r>
      <w:r w:rsidR="00C141BB" w:rsidRPr="00227340">
        <w:rPr>
          <w:rFonts w:hint="cs"/>
          <w:b w:val="0"/>
          <w:bCs w:val="0"/>
          <w:rtl/>
        </w:rPr>
        <w:t xml:space="preserve">فاع </w:t>
      </w:r>
      <w:r w:rsidR="000D7580" w:rsidRPr="00227340">
        <w:rPr>
          <w:rFonts w:hint="cs"/>
          <w:b w:val="0"/>
          <w:bCs w:val="0"/>
          <w:rtl/>
        </w:rPr>
        <w:t>إ</w:t>
      </w:r>
      <w:r w:rsidR="00B66A2C" w:rsidRPr="00227340">
        <w:rPr>
          <w:rFonts w:hint="cs"/>
          <w:b w:val="0"/>
          <w:bCs w:val="0"/>
          <w:rtl/>
        </w:rPr>
        <w:t>لى إ</w:t>
      </w:r>
      <w:r w:rsidR="00C141BB" w:rsidRPr="00227340">
        <w:rPr>
          <w:rFonts w:hint="cs"/>
          <w:b w:val="0"/>
          <w:bCs w:val="0"/>
          <w:rtl/>
        </w:rPr>
        <w:t>رتفاع</w:t>
      </w:r>
      <w:r w:rsidR="00641368" w:rsidRPr="00227340">
        <w:rPr>
          <w:rFonts w:hint="cs"/>
          <w:b w:val="0"/>
          <w:bCs w:val="0"/>
          <w:rtl/>
        </w:rPr>
        <w:t xml:space="preserve"> عدد العاملين في أ</w:t>
      </w:r>
      <w:r w:rsidR="00C141BB" w:rsidRPr="00227340">
        <w:rPr>
          <w:rFonts w:hint="cs"/>
          <w:b w:val="0"/>
          <w:bCs w:val="0"/>
          <w:rtl/>
        </w:rPr>
        <w:t>نشطة</w:t>
      </w:r>
      <w:r w:rsidR="001E08F8" w:rsidRPr="00227340">
        <w:rPr>
          <w:rFonts w:hint="cs"/>
          <w:b w:val="0"/>
          <w:bCs w:val="0"/>
          <w:rtl/>
        </w:rPr>
        <w:t xml:space="preserve"> </w:t>
      </w:r>
      <w:r w:rsidR="000D7580" w:rsidRPr="00227340">
        <w:rPr>
          <w:rFonts w:hint="cs"/>
          <w:b w:val="0"/>
          <w:bCs w:val="0"/>
          <w:rtl/>
        </w:rPr>
        <w:t>الإ</w:t>
      </w:r>
      <w:r w:rsidR="00C141BB" w:rsidRPr="00227340">
        <w:rPr>
          <w:rFonts w:hint="cs"/>
          <w:b w:val="0"/>
          <w:bCs w:val="0"/>
          <w:rtl/>
        </w:rPr>
        <w:t xml:space="preserve">نشاءات </w:t>
      </w:r>
      <w:r w:rsidR="001E08F8" w:rsidRPr="00227340">
        <w:rPr>
          <w:rFonts w:hint="cs"/>
          <w:b w:val="0"/>
          <w:bCs w:val="0"/>
          <w:rtl/>
        </w:rPr>
        <w:t>و</w:t>
      </w:r>
      <w:r w:rsidR="00C141BB" w:rsidRPr="00227340">
        <w:rPr>
          <w:rFonts w:hint="cs"/>
          <w:b w:val="0"/>
          <w:bCs w:val="0"/>
          <w:rtl/>
        </w:rPr>
        <w:t>الصناعة</w:t>
      </w:r>
      <w:r w:rsidR="00934945" w:rsidRPr="00227340">
        <w:rPr>
          <w:rFonts w:hint="cs"/>
          <w:b w:val="0"/>
          <w:bCs w:val="0"/>
          <w:rtl/>
        </w:rPr>
        <w:t xml:space="preserve">. وبالرغم من ارتفاع عدد العاملين </w:t>
      </w:r>
      <w:r w:rsidR="009F45FD" w:rsidRPr="00227340">
        <w:rPr>
          <w:rFonts w:hint="cs"/>
          <w:b w:val="0"/>
          <w:bCs w:val="0"/>
          <w:rtl/>
        </w:rPr>
        <w:t>الا</w:t>
      </w:r>
      <w:r w:rsidR="00934945" w:rsidRPr="00227340">
        <w:rPr>
          <w:rFonts w:hint="cs"/>
          <w:b w:val="0"/>
          <w:bCs w:val="0"/>
          <w:rtl/>
        </w:rPr>
        <w:t xml:space="preserve"> أن </w:t>
      </w:r>
      <w:r w:rsidR="00BC6771" w:rsidRPr="00227340">
        <w:rPr>
          <w:rFonts w:hint="cs"/>
          <w:b w:val="0"/>
          <w:bCs w:val="0"/>
          <w:rtl/>
        </w:rPr>
        <w:t>ن</w:t>
      </w:r>
      <w:r w:rsidR="00D22E46" w:rsidRPr="00227340">
        <w:rPr>
          <w:rFonts w:hint="cs"/>
          <w:b w:val="0"/>
          <w:bCs w:val="0"/>
          <w:rtl/>
        </w:rPr>
        <w:t>سبة البطالة</w:t>
      </w:r>
      <w:r w:rsidR="00DA0DA5" w:rsidRPr="00227340">
        <w:rPr>
          <w:rFonts w:hint="cs"/>
          <w:b w:val="0"/>
          <w:bCs w:val="0"/>
          <w:rtl/>
        </w:rPr>
        <w:t xml:space="preserve"> ارتفعت</w:t>
      </w:r>
      <w:r w:rsidR="00D22E46" w:rsidRPr="00227340">
        <w:rPr>
          <w:rFonts w:hint="cs"/>
          <w:b w:val="0"/>
          <w:bCs w:val="0"/>
          <w:rtl/>
        </w:rPr>
        <w:t xml:space="preserve"> خلال عام </w:t>
      </w:r>
      <w:r w:rsidR="00C77471" w:rsidRPr="00227340">
        <w:rPr>
          <w:rFonts w:hint="cs"/>
          <w:b w:val="0"/>
          <w:bCs w:val="0"/>
          <w:rtl/>
        </w:rPr>
        <w:t>2018</w:t>
      </w:r>
      <w:r w:rsidR="00D22E46" w:rsidRPr="00227340">
        <w:rPr>
          <w:rFonts w:hint="cs"/>
          <w:b w:val="0"/>
          <w:bCs w:val="0"/>
          <w:rtl/>
        </w:rPr>
        <w:t xml:space="preserve"> لتصل إلى </w:t>
      </w:r>
      <w:r w:rsidR="00343D54" w:rsidRPr="00227340">
        <w:rPr>
          <w:rFonts w:hint="cs"/>
          <w:b w:val="0"/>
          <w:bCs w:val="0"/>
          <w:rtl/>
        </w:rPr>
        <w:t>31</w:t>
      </w:r>
      <w:r w:rsidR="00D22E46" w:rsidRPr="00227340">
        <w:rPr>
          <w:rFonts w:hint="cs"/>
          <w:b w:val="0"/>
          <w:bCs w:val="0"/>
          <w:rtl/>
        </w:rPr>
        <w:t xml:space="preserve">% </w:t>
      </w:r>
      <w:r w:rsidR="00C77471" w:rsidRPr="00227340">
        <w:rPr>
          <w:rFonts w:hint="cs"/>
          <w:b w:val="0"/>
          <w:bCs w:val="0"/>
          <w:rtl/>
        </w:rPr>
        <w:t>مقارنة</w:t>
      </w:r>
      <w:r w:rsidR="00D22E46" w:rsidRPr="00227340">
        <w:rPr>
          <w:rFonts w:hint="cs"/>
          <w:b w:val="0"/>
          <w:bCs w:val="0"/>
          <w:rtl/>
        </w:rPr>
        <w:t xml:space="preserve"> </w:t>
      </w:r>
      <w:r w:rsidR="00C77471" w:rsidRPr="00227340">
        <w:rPr>
          <w:rFonts w:hint="cs"/>
          <w:b w:val="0"/>
          <w:bCs w:val="0"/>
          <w:rtl/>
        </w:rPr>
        <w:t>مع</w:t>
      </w:r>
      <w:r w:rsidR="0072437B" w:rsidRPr="00227340">
        <w:rPr>
          <w:rFonts w:hint="cs"/>
          <w:b w:val="0"/>
          <w:bCs w:val="0"/>
          <w:rtl/>
        </w:rPr>
        <w:t xml:space="preserve"> </w:t>
      </w:r>
      <w:r w:rsidR="00132815" w:rsidRPr="00227340">
        <w:rPr>
          <w:rFonts w:hint="cs"/>
          <w:b w:val="0"/>
          <w:bCs w:val="0"/>
          <w:rtl/>
        </w:rPr>
        <w:t>29</w:t>
      </w:r>
      <w:r w:rsidR="00D22E46" w:rsidRPr="00227340">
        <w:rPr>
          <w:rFonts w:hint="cs"/>
          <w:b w:val="0"/>
          <w:bCs w:val="0"/>
          <w:rtl/>
        </w:rPr>
        <w:t xml:space="preserve">% خلال عام </w:t>
      </w:r>
      <w:r w:rsidR="00C77471" w:rsidRPr="00227340">
        <w:rPr>
          <w:rFonts w:hint="cs"/>
          <w:b w:val="0"/>
          <w:bCs w:val="0"/>
          <w:rtl/>
        </w:rPr>
        <w:t>2017</w:t>
      </w:r>
      <w:r w:rsidR="00DA0DA5" w:rsidRPr="00227340">
        <w:rPr>
          <w:rFonts w:hint="cs"/>
          <w:b w:val="0"/>
          <w:bCs w:val="0"/>
          <w:rtl/>
        </w:rPr>
        <w:t xml:space="preserve"> وذلك بسبب أن </w:t>
      </w:r>
      <w:r w:rsidR="009F45FD" w:rsidRPr="00227340">
        <w:rPr>
          <w:rFonts w:hint="cs"/>
          <w:b w:val="0"/>
          <w:bCs w:val="0"/>
          <w:rtl/>
        </w:rPr>
        <w:t>الارتفاع الحاصل</w:t>
      </w:r>
      <w:r w:rsidR="00DA0DA5" w:rsidRPr="00227340">
        <w:rPr>
          <w:rFonts w:hint="cs"/>
          <w:b w:val="0"/>
          <w:bCs w:val="0"/>
          <w:rtl/>
        </w:rPr>
        <w:t xml:space="preserve"> في عدد العاملين كان أقل من الارتفاع في </w:t>
      </w:r>
      <w:r w:rsidR="00134915" w:rsidRPr="00227340">
        <w:rPr>
          <w:rFonts w:hint="cs"/>
          <w:b w:val="0"/>
          <w:bCs w:val="0"/>
          <w:rtl/>
        </w:rPr>
        <w:t>‏</w:t>
      </w:r>
      <w:r w:rsidR="00DA0DA5" w:rsidRPr="00227340">
        <w:rPr>
          <w:rFonts w:hint="cs"/>
          <w:b w:val="0"/>
          <w:bCs w:val="0"/>
          <w:rtl/>
        </w:rPr>
        <w:t>حجم القوى العاملة</w:t>
      </w:r>
      <w:r w:rsidR="00D5524F" w:rsidRPr="00227340">
        <w:rPr>
          <w:rFonts w:hint="cs"/>
          <w:b w:val="0"/>
          <w:bCs w:val="0"/>
          <w:rtl/>
        </w:rPr>
        <w:t>، ويعزى ارتفاع نسبة</w:t>
      </w:r>
      <w:r w:rsidR="00221EB0" w:rsidRPr="00227340">
        <w:rPr>
          <w:rFonts w:hint="cs"/>
          <w:b w:val="0"/>
          <w:bCs w:val="0"/>
          <w:rtl/>
        </w:rPr>
        <w:t xml:space="preserve"> البطالة </w:t>
      </w:r>
      <w:r w:rsidR="00D5524F" w:rsidRPr="00227340">
        <w:rPr>
          <w:rFonts w:hint="cs"/>
          <w:b w:val="0"/>
          <w:bCs w:val="0"/>
          <w:rtl/>
        </w:rPr>
        <w:t xml:space="preserve">في فلسطين خلال عام 2018 إلى الإرتفاع الحاد الذي شهده </w:t>
      </w:r>
      <w:r w:rsidR="00221EB0" w:rsidRPr="00227340">
        <w:rPr>
          <w:rFonts w:hint="cs"/>
          <w:b w:val="0"/>
          <w:bCs w:val="0"/>
          <w:rtl/>
        </w:rPr>
        <w:t>قطاع غزة</w:t>
      </w:r>
      <w:r w:rsidR="00D5524F" w:rsidRPr="00227340">
        <w:rPr>
          <w:rFonts w:hint="cs"/>
          <w:b w:val="0"/>
          <w:bCs w:val="0"/>
          <w:rtl/>
        </w:rPr>
        <w:t xml:space="preserve"> والذي تجاوز 50%</w:t>
      </w:r>
      <w:r w:rsidR="00221EB0" w:rsidRPr="00227340">
        <w:rPr>
          <w:rFonts w:hint="cs"/>
          <w:b w:val="0"/>
          <w:bCs w:val="0"/>
          <w:rtl/>
        </w:rPr>
        <w:t xml:space="preserve"> خلال الا</w:t>
      </w:r>
      <w:r w:rsidR="009F45FD" w:rsidRPr="00227340">
        <w:rPr>
          <w:rFonts w:hint="cs"/>
          <w:b w:val="0"/>
          <w:bCs w:val="0"/>
          <w:rtl/>
        </w:rPr>
        <w:t>رباع الثلاثة الأولى من عام 2018</w:t>
      </w:r>
      <w:r w:rsidR="00221EB0" w:rsidRPr="00227340">
        <w:rPr>
          <w:rFonts w:hint="cs"/>
          <w:b w:val="0"/>
          <w:bCs w:val="0"/>
          <w:rtl/>
        </w:rPr>
        <w:t xml:space="preserve">، فيما </w:t>
      </w:r>
      <w:r w:rsidR="009F45FD" w:rsidRPr="00227340">
        <w:rPr>
          <w:rFonts w:hint="cs"/>
          <w:b w:val="0"/>
          <w:bCs w:val="0"/>
          <w:rtl/>
        </w:rPr>
        <w:t>لم تتجاوز</w:t>
      </w:r>
      <w:r w:rsidR="00221EB0" w:rsidRPr="00227340">
        <w:rPr>
          <w:rFonts w:hint="cs"/>
          <w:b w:val="0"/>
          <w:bCs w:val="0"/>
          <w:rtl/>
        </w:rPr>
        <w:t xml:space="preserve"> في الضفة الغربية </w:t>
      </w:r>
      <w:r w:rsidR="009F45FD" w:rsidRPr="00227340">
        <w:rPr>
          <w:rFonts w:hint="cs"/>
          <w:b w:val="0"/>
          <w:bCs w:val="0"/>
          <w:rtl/>
        </w:rPr>
        <w:t>19</w:t>
      </w:r>
      <w:r w:rsidR="00221EB0" w:rsidRPr="00227340">
        <w:rPr>
          <w:rFonts w:hint="cs"/>
          <w:b w:val="0"/>
          <w:bCs w:val="0"/>
          <w:rtl/>
        </w:rPr>
        <w:t>%</w:t>
      </w:r>
      <w:r w:rsidR="009F45FD" w:rsidRPr="00227340">
        <w:rPr>
          <w:rFonts w:hint="cs"/>
          <w:b w:val="0"/>
          <w:bCs w:val="0"/>
          <w:rtl/>
        </w:rPr>
        <w:t>.</w:t>
      </w:r>
      <w:r w:rsidR="00221EB0" w:rsidRPr="00227340">
        <w:rPr>
          <w:rFonts w:hint="cs"/>
          <w:b w:val="0"/>
          <w:bCs w:val="0"/>
          <w:rtl/>
        </w:rPr>
        <w:t xml:space="preserve"> </w:t>
      </w:r>
    </w:p>
    <w:p w:rsidR="00D22E46" w:rsidRPr="00227340" w:rsidRDefault="00D22E46" w:rsidP="00D22E46">
      <w:pPr>
        <w:pStyle w:val="BodyText"/>
        <w:jc w:val="both"/>
        <w:rPr>
          <w:rtl/>
        </w:rPr>
      </w:pPr>
    </w:p>
    <w:p w:rsidR="007E226E" w:rsidRDefault="007E226E" w:rsidP="00D34E6C">
      <w:pPr>
        <w:jc w:val="both"/>
        <w:rPr>
          <w:rFonts w:cs="Simplified Arabic"/>
          <w:b/>
          <w:bCs/>
          <w:rtl/>
        </w:rPr>
      </w:pPr>
    </w:p>
    <w:p w:rsidR="007E226E" w:rsidRDefault="007E226E" w:rsidP="00D34E6C">
      <w:pPr>
        <w:jc w:val="both"/>
        <w:rPr>
          <w:rFonts w:cs="Simplified Arabic"/>
          <w:b/>
          <w:bCs/>
          <w:rtl/>
        </w:rPr>
      </w:pPr>
    </w:p>
    <w:p w:rsidR="007E226E" w:rsidRDefault="007E226E" w:rsidP="00D34E6C">
      <w:pPr>
        <w:jc w:val="both"/>
        <w:rPr>
          <w:rFonts w:cs="Simplified Arabic"/>
          <w:b/>
          <w:bCs/>
          <w:rtl/>
        </w:rPr>
      </w:pPr>
    </w:p>
    <w:p w:rsidR="007E226E" w:rsidRDefault="007E226E" w:rsidP="00D34E6C">
      <w:pPr>
        <w:jc w:val="both"/>
        <w:rPr>
          <w:rFonts w:cs="Simplified Arabic"/>
          <w:b/>
          <w:bCs/>
          <w:rtl/>
        </w:rPr>
      </w:pPr>
    </w:p>
    <w:p w:rsidR="00CC3C27" w:rsidRPr="00227340" w:rsidRDefault="00D34E6C" w:rsidP="00D34E6C">
      <w:pPr>
        <w:jc w:val="both"/>
        <w:rPr>
          <w:rFonts w:cs="Simplified Arabic"/>
          <w:b/>
          <w:bCs/>
          <w:rtl/>
        </w:rPr>
      </w:pPr>
      <w:r w:rsidRPr="00227340">
        <w:rPr>
          <w:rFonts w:cs="Simplified Arabic" w:hint="cs"/>
          <w:b/>
          <w:bCs/>
          <w:rtl/>
        </w:rPr>
        <w:t xml:space="preserve">انخفاض في عجز الميزان التجاري الفلسطيني </w:t>
      </w:r>
      <w:r w:rsidR="00CC3C27" w:rsidRPr="00227340">
        <w:rPr>
          <w:rFonts w:cs="Simplified Arabic" w:hint="cs"/>
          <w:b/>
          <w:bCs/>
          <w:rtl/>
        </w:rPr>
        <w:t xml:space="preserve">خلال عام </w:t>
      </w:r>
      <w:r w:rsidR="00433090" w:rsidRPr="00227340">
        <w:rPr>
          <w:rFonts w:cs="Simplified Arabic" w:hint="cs"/>
          <w:b/>
          <w:bCs/>
          <w:rtl/>
        </w:rPr>
        <w:t>2018</w:t>
      </w:r>
      <w:r w:rsidR="00CC3C27" w:rsidRPr="00227340">
        <w:rPr>
          <w:rFonts w:cs="Simplified Arabic" w:hint="cs"/>
          <w:b/>
          <w:bCs/>
          <w:rtl/>
        </w:rPr>
        <w:t xml:space="preserve"> </w:t>
      </w:r>
    </w:p>
    <w:p w:rsidR="00CC3C27" w:rsidRPr="00227340" w:rsidRDefault="002C291D" w:rsidP="00D34E6C">
      <w:pPr>
        <w:jc w:val="both"/>
        <w:rPr>
          <w:rFonts w:cs="Simplified Arabic"/>
          <w:b/>
          <w:bCs/>
          <w:rtl/>
        </w:rPr>
      </w:pPr>
      <w:r w:rsidRPr="00227340">
        <w:rPr>
          <w:rFonts w:cs="Simplified Arabic" w:hint="cs"/>
          <w:rtl/>
        </w:rPr>
        <w:t xml:space="preserve">أما </w:t>
      </w:r>
      <w:r w:rsidR="00CC3C27" w:rsidRPr="00227340">
        <w:rPr>
          <w:rFonts w:cs="Simplified Arabic" w:hint="cs"/>
          <w:rtl/>
        </w:rPr>
        <w:t>على صعيد حركة التجارة الخارجية في فلسطين والتي تتمثل في إجمالي الصادرات والواردات</w:t>
      </w:r>
      <w:r w:rsidR="00F86861" w:rsidRPr="00227340">
        <w:rPr>
          <w:rFonts w:cs="Simplified Arabic" w:hint="cs"/>
          <w:rtl/>
        </w:rPr>
        <w:t>،</w:t>
      </w:r>
      <w:r w:rsidR="00CC3C27" w:rsidRPr="00227340">
        <w:rPr>
          <w:rFonts w:cs="Simplified Arabic" w:hint="cs"/>
          <w:rtl/>
        </w:rPr>
        <w:t xml:space="preserve"> فقد </w:t>
      </w:r>
      <w:r w:rsidR="00AF4F5D" w:rsidRPr="00227340">
        <w:rPr>
          <w:rFonts w:cs="Simplified Arabic" w:hint="cs"/>
          <w:rtl/>
        </w:rPr>
        <w:t>أ</w:t>
      </w:r>
      <w:r w:rsidR="00F86861" w:rsidRPr="00227340">
        <w:rPr>
          <w:rFonts w:cs="Simplified Arabic" w:hint="cs"/>
          <w:rtl/>
        </w:rPr>
        <w:t>شارت التقديرات ال</w:t>
      </w:r>
      <w:r w:rsidR="00AF4F5D" w:rsidRPr="00227340">
        <w:rPr>
          <w:rFonts w:cs="Simplified Arabic" w:hint="cs"/>
          <w:rtl/>
        </w:rPr>
        <w:t>أ</w:t>
      </w:r>
      <w:r w:rsidR="00F86861" w:rsidRPr="00227340">
        <w:rPr>
          <w:rFonts w:cs="Simplified Arabic" w:hint="cs"/>
          <w:rtl/>
        </w:rPr>
        <w:t xml:space="preserve">ولية </w:t>
      </w:r>
      <w:r w:rsidR="00AF4F5D" w:rsidRPr="00227340">
        <w:rPr>
          <w:rFonts w:cs="Simplified Arabic" w:hint="cs"/>
          <w:rtl/>
        </w:rPr>
        <w:t>إ</w:t>
      </w:r>
      <w:r w:rsidR="00F86861" w:rsidRPr="00227340">
        <w:rPr>
          <w:rFonts w:cs="Simplified Arabic" w:hint="cs"/>
          <w:rtl/>
        </w:rPr>
        <w:t xml:space="preserve">لى </w:t>
      </w:r>
      <w:r w:rsidRPr="00227340">
        <w:rPr>
          <w:rFonts w:cs="Simplified Arabic" w:hint="cs"/>
          <w:rtl/>
        </w:rPr>
        <w:t>إ</w:t>
      </w:r>
      <w:r w:rsidR="009C2303" w:rsidRPr="00227340">
        <w:rPr>
          <w:rFonts w:cs="Simplified Arabic" w:hint="cs"/>
          <w:rtl/>
        </w:rPr>
        <w:t>رتفاع</w:t>
      </w:r>
      <w:r w:rsidR="00CC3C27" w:rsidRPr="00227340">
        <w:rPr>
          <w:rFonts w:cs="Simplified Arabic" w:hint="cs"/>
          <w:rtl/>
        </w:rPr>
        <w:t xml:space="preserve"> </w:t>
      </w:r>
      <w:r w:rsidR="00AF33C1" w:rsidRPr="00227340">
        <w:rPr>
          <w:rFonts w:cs="Simplified Arabic" w:hint="cs"/>
          <w:rtl/>
        </w:rPr>
        <w:t>قيمة</w:t>
      </w:r>
      <w:r w:rsidR="00CC3C27" w:rsidRPr="00227340">
        <w:rPr>
          <w:rFonts w:cs="Simplified Arabic" w:hint="cs"/>
          <w:rtl/>
        </w:rPr>
        <w:t xml:space="preserve"> الصادرات بنسبة </w:t>
      </w:r>
      <w:r w:rsidR="00D34E6C" w:rsidRPr="00227340">
        <w:rPr>
          <w:rFonts w:cs="Simplified Arabic" w:hint="cs"/>
          <w:rtl/>
        </w:rPr>
        <w:t>8</w:t>
      </w:r>
      <w:r w:rsidR="00CC3C27" w:rsidRPr="00227340">
        <w:rPr>
          <w:rFonts w:cs="Simplified Arabic" w:hint="cs"/>
          <w:rtl/>
        </w:rPr>
        <w:t xml:space="preserve">% مقارنة مع عام </w:t>
      </w:r>
      <w:r w:rsidR="00433090" w:rsidRPr="00227340">
        <w:rPr>
          <w:rFonts w:cs="Simplified Arabic" w:hint="cs"/>
          <w:rtl/>
        </w:rPr>
        <w:t>2017</w:t>
      </w:r>
      <w:r w:rsidR="00CC3C27" w:rsidRPr="00227340">
        <w:rPr>
          <w:rFonts w:cs="Simplified Arabic" w:hint="cs"/>
          <w:rtl/>
        </w:rPr>
        <w:t xml:space="preserve">، </w:t>
      </w:r>
      <w:r w:rsidR="00EB69E2" w:rsidRPr="00227340">
        <w:rPr>
          <w:rFonts w:cs="Simplified Arabic" w:hint="cs"/>
          <w:rtl/>
        </w:rPr>
        <w:t>كما</w:t>
      </w:r>
      <w:r w:rsidR="00AF33C1" w:rsidRPr="00227340">
        <w:rPr>
          <w:rFonts w:cs="Simplified Arabic" w:hint="cs"/>
          <w:rtl/>
        </w:rPr>
        <w:t xml:space="preserve"> </w:t>
      </w:r>
      <w:r w:rsidRPr="00227340">
        <w:rPr>
          <w:rFonts w:cs="Simplified Arabic" w:hint="cs"/>
          <w:rtl/>
        </w:rPr>
        <w:t>و</w:t>
      </w:r>
      <w:r w:rsidR="00D34E6C" w:rsidRPr="00227340">
        <w:rPr>
          <w:rFonts w:cs="Simplified Arabic" w:hint="cs"/>
          <w:rtl/>
        </w:rPr>
        <w:t>ا</w:t>
      </w:r>
      <w:r w:rsidR="00EB69E2" w:rsidRPr="00227340">
        <w:rPr>
          <w:rFonts w:cs="Simplified Arabic" w:hint="cs"/>
          <w:rtl/>
        </w:rPr>
        <w:t>رتفعت</w:t>
      </w:r>
      <w:r w:rsidR="00AF33C1" w:rsidRPr="00227340">
        <w:rPr>
          <w:rFonts w:cs="Simplified Arabic" w:hint="cs"/>
          <w:rtl/>
        </w:rPr>
        <w:t xml:space="preserve"> </w:t>
      </w:r>
      <w:r w:rsidR="00B95821" w:rsidRPr="00227340">
        <w:rPr>
          <w:rFonts w:cs="Simplified Arabic" w:hint="cs"/>
          <w:rtl/>
        </w:rPr>
        <w:t xml:space="preserve">قيمة </w:t>
      </w:r>
      <w:bookmarkStart w:id="0" w:name="_GoBack"/>
      <w:bookmarkEnd w:id="0"/>
      <w:r w:rsidR="00CC3C27" w:rsidRPr="00227340">
        <w:rPr>
          <w:rFonts w:cs="Simplified Arabic" w:hint="cs"/>
          <w:rtl/>
        </w:rPr>
        <w:t>الواردات بنسبة</w:t>
      </w:r>
      <w:r w:rsidR="00C20CE3" w:rsidRPr="00227340">
        <w:rPr>
          <w:rFonts w:cs="Simplified Arabic" w:hint="cs"/>
          <w:rtl/>
        </w:rPr>
        <w:t xml:space="preserve"> </w:t>
      </w:r>
      <w:r w:rsidR="00132815" w:rsidRPr="00227340">
        <w:rPr>
          <w:rFonts w:cs="Simplified Arabic" w:hint="cs"/>
          <w:rtl/>
        </w:rPr>
        <w:t>2</w:t>
      </w:r>
      <w:r w:rsidR="00CC3C27" w:rsidRPr="00227340">
        <w:rPr>
          <w:rFonts w:cs="Simplified Arabic" w:hint="cs"/>
          <w:rtl/>
        </w:rPr>
        <w:t xml:space="preserve">% </w:t>
      </w:r>
      <w:r w:rsidR="00D34E6C" w:rsidRPr="00227340">
        <w:rPr>
          <w:rFonts w:cs="Simplified Arabic" w:hint="cs"/>
          <w:rtl/>
        </w:rPr>
        <w:t>خلال نفس الفترة، مما أدى ذلك لانخفاض عجز الميزان التجاري بنسبة 1% مقارنة مع العام السابق.</w:t>
      </w:r>
    </w:p>
    <w:p w:rsidR="00CC3C27" w:rsidRPr="00227340" w:rsidRDefault="00CC3C27" w:rsidP="00CC3C27">
      <w:pPr>
        <w:jc w:val="both"/>
        <w:rPr>
          <w:rFonts w:cs="Simplified Arabic"/>
          <w:rtl/>
        </w:rPr>
      </w:pPr>
    </w:p>
    <w:p w:rsidR="00CC3C27" w:rsidRPr="00227340" w:rsidRDefault="00CC3C27" w:rsidP="00CC3C27">
      <w:pPr>
        <w:jc w:val="both"/>
        <w:rPr>
          <w:rFonts w:cs="Simplified Arabic"/>
          <w:b/>
          <w:bCs/>
          <w:rtl/>
        </w:rPr>
      </w:pPr>
      <w:r w:rsidRPr="00227340">
        <w:rPr>
          <w:rFonts w:cs="Simplified Arabic" w:hint="cs"/>
          <w:b/>
          <w:bCs/>
          <w:rtl/>
        </w:rPr>
        <w:t>الأسعار</w:t>
      </w:r>
      <w:r w:rsidR="000308D2" w:rsidRPr="00227340">
        <w:rPr>
          <w:rStyle w:val="FootnoteReference"/>
          <w:b w:val="0"/>
          <w:bCs w:val="0"/>
          <w:color w:val="auto"/>
          <w:rtl/>
        </w:rPr>
        <w:footnoteReference w:id="2"/>
      </w:r>
    </w:p>
    <w:p w:rsidR="00CC3C27" w:rsidRPr="00227340" w:rsidRDefault="002B1856" w:rsidP="009A11EF">
      <w:pPr>
        <w:jc w:val="both"/>
        <w:rPr>
          <w:rFonts w:cs="Simplified Arabic"/>
          <w:u w:val="single"/>
          <w:rtl/>
        </w:rPr>
      </w:pPr>
      <w:r w:rsidRPr="00227340">
        <w:rPr>
          <w:rFonts w:cs="Simplified Arabic" w:hint="cs"/>
          <w:rtl/>
        </w:rPr>
        <w:t xml:space="preserve">كتقديرات اولية، </w:t>
      </w:r>
      <w:r w:rsidR="004448E4" w:rsidRPr="00227340">
        <w:rPr>
          <w:rFonts w:cs="Simplified Arabic" w:hint="cs"/>
          <w:rtl/>
        </w:rPr>
        <w:t>سجل</w:t>
      </w:r>
      <w:r w:rsidR="00C20CE3" w:rsidRPr="00227340">
        <w:rPr>
          <w:rFonts w:cs="Simplified Arabic" w:hint="cs"/>
          <w:rtl/>
        </w:rPr>
        <w:t xml:space="preserve"> </w:t>
      </w:r>
      <w:r w:rsidR="00CC3C27" w:rsidRPr="00227340">
        <w:rPr>
          <w:rFonts w:cs="Simplified Arabic" w:hint="cs"/>
          <w:rtl/>
        </w:rPr>
        <w:t>متوسط الرقم القياسي</w:t>
      </w:r>
      <w:r w:rsidR="00C20CE3" w:rsidRPr="00227340">
        <w:rPr>
          <w:rFonts w:cs="Simplified Arabic" w:hint="cs"/>
          <w:rtl/>
        </w:rPr>
        <w:t xml:space="preserve"> العام</w:t>
      </w:r>
      <w:r w:rsidR="00CC3C27" w:rsidRPr="00227340">
        <w:rPr>
          <w:rFonts w:cs="Simplified Arabic" w:hint="cs"/>
          <w:rtl/>
        </w:rPr>
        <w:t xml:space="preserve"> لأسعار المستهلك </w:t>
      </w:r>
      <w:r w:rsidR="00C20CE3" w:rsidRPr="00227340">
        <w:rPr>
          <w:rFonts w:cs="Simplified Arabic" w:hint="cs"/>
          <w:rtl/>
        </w:rPr>
        <w:t xml:space="preserve">في فلسطين </w:t>
      </w:r>
      <w:r w:rsidR="00CC3C27" w:rsidRPr="00227340">
        <w:rPr>
          <w:rFonts w:cs="Simplified Arabic" w:hint="cs"/>
          <w:rtl/>
        </w:rPr>
        <w:t xml:space="preserve">خلال العام </w:t>
      </w:r>
      <w:r w:rsidR="00433090" w:rsidRPr="00227340">
        <w:rPr>
          <w:rFonts w:cs="Simplified Arabic" w:hint="cs"/>
          <w:rtl/>
        </w:rPr>
        <w:t>2018</w:t>
      </w:r>
      <w:r w:rsidR="00CC3C27" w:rsidRPr="00227340">
        <w:rPr>
          <w:rFonts w:cs="Simplified Arabic" w:hint="cs"/>
          <w:rtl/>
        </w:rPr>
        <w:t xml:space="preserve"> </w:t>
      </w:r>
      <w:r w:rsidR="009A11EF" w:rsidRPr="00227340">
        <w:rPr>
          <w:rFonts w:cs="Simplified Arabic" w:hint="cs"/>
          <w:rtl/>
        </w:rPr>
        <w:t>انخفاضاً</w:t>
      </w:r>
      <w:r w:rsidR="00D47D3F" w:rsidRPr="00227340">
        <w:rPr>
          <w:rFonts w:cs="Simplified Arabic" w:hint="cs"/>
          <w:rtl/>
        </w:rPr>
        <w:t xml:space="preserve"> </w:t>
      </w:r>
      <w:r w:rsidR="009A11EF" w:rsidRPr="00227340">
        <w:rPr>
          <w:rFonts w:cs="Simplified Arabic" w:hint="cs"/>
          <w:rtl/>
        </w:rPr>
        <w:t>طفيفاً</w:t>
      </w:r>
      <w:r w:rsidR="004448E4" w:rsidRPr="00227340">
        <w:rPr>
          <w:rFonts w:cs="Simplified Arabic" w:hint="cs"/>
          <w:rtl/>
        </w:rPr>
        <w:t xml:space="preserve"> </w:t>
      </w:r>
      <w:r w:rsidR="00CC3C27" w:rsidRPr="00227340">
        <w:rPr>
          <w:rFonts w:cs="Simplified Arabic" w:hint="cs"/>
          <w:rtl/>
        </w:rPr>
        <w:t xml:space="preserve">مقارنة مع العام </w:t>
      </w:r>
      <w:r w:rsidR="00433090" w:rsidRPr="00227340">
        <w:rPr>
          <w:rFonts w:cs="Simplified Arabic" w:hint="cs"/>
          <w:rtl/>
        </w:rPr>
        <w:t>2017</w:t>
      </w:r>
      <w:r w:rsidR="00CC3C27" w:rsidRPr="00227340">
        <w:rPr>
          <w:rFonts w:cs="Simplified Arabic" w:hint="cs"/>
          <w:rtl/>
        </w:rPr>
        <w:t>.</w:t>
      </w:r>
      <w:r w:rsidR="00CC3C27" w:rsidRPr="00227340">
        <w:rPr>
          <w:rFonts w:cs="Simplified Arabic" w:hint="cs"/>
          <w:u w:val="single"/>
          <w:rtl/>
        </w:rPr>
        <w:t xml:space="preserve">    </w:t>
      </w:r>
    </w:p>
    <w:p w:rsidR="00CC3C27" w:rsidRPr="00227340" w:rsidRDefault="00CC3C27" w:rsidP="00CC3C27">
      <w:pPr>
        <w:jc w:val="both"/>
        <w:rPr>
          <w:rFonts w:cs="Simplified Arabic"/>
          <w:rtl/>
        </w:rPr>
      </w:pPr>
    </w:p>
    <w:p w:rsidR="00C61C09" w:rsidRPr="00227340" w:rsidRDefault="00C61C09" w:rsidP="00CC3C27">
      <w:pPr>
        <w:jc w:val="both"/>
        <w:rPr>
          <w:rFonts w:cs="Simplified Arabic"/>
          <w:rtl/>
        </w:rPr>
      </w:pPr>
    </w:p>
    <w:p w:rsidR="000920F8" w:rsidRPr="000911A8" w:rsidRDefault="000911A8" w:rsidP="00CC3C27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911A8">
        <w:rPr>
          <w:rFonts w:cs="Simplified Arabic" w:hint="cs"/>
          <w:b/>
          <w:bCs/>
          <w:sz w:val="28"/>
          <w:szCs w:val="28"/>
          <w:rtl/>
        </w:rPr>
        <w:t>كما استعرضت د. عوض، التنبؤات الاقتصادية لعام 2019 على النحو الاتي:</w:t>
      </w:r>
    </w:p>
    <w:p w:rsidR="00CC3C27" w:rsidRPr="00227340" w:rsidRDefault="00CC3C27" w:rsidP="00690B6F">
      <w:pPr>
        <w:spacing w:before="100" w:beforeAutospacing="1" w:after="100" w:afterAutospacing="1"/>
        <w:ind w:right="-360"/>
        <w:jc w:val="center"/>
        <w:rPr>
          <w:rFonts w:cs="Simplified Arabic"/>
          <w:b/>
          <w:bCs/>
          <w:sz w:val="28"/>
          <w:szCs w:val="28"/>
          <w:rtl/>
        </w:rPr>
      </w:pPr>
      <w:r w:rsidRPr="00227340">
        <w:rPr>
          <w:rFonts w:cs="Simplified Arabic" w:hint="cs"/>
          <w:b/>
          <w:bCs/>
          <w:sz w:val="28"/>
          <w:szCs w:val="28"/>
          <w:rtl/>
        </w:rPr>
        <w:t>التنبؤات الاقتصادية</w:t>
      </w:r>
      <w:r w:rsidR="00682276" w:rsidRPr="00227340">
        <w:rPr>
          <w:rStyle w:val="FootnoteReference"/>
          <w:b w:val="0"/>
          <w:bCs w:val="0"/>
          <w:color w:val="auto"/>
          <w:sz w:val="28"/>
          <w:szCs w:val="28"/>
          <w:rtl/>
        </w:rPr>
        <w:footnoteReference w:id="3"/>
      </w:r>
      <w:r w:rsidR="00B572B4" w:rsidRPr="00227340">
        <w:rPr>
          <w:rFonts w:cs="Simplified Arabic" w:hint="cs"/>
          <w:b/>
          <w:bCs/>
          <w:sz w:val="28"/>
          <w:szCs w:val="28"/>
          <w:rtl/>
        </w:rPr>
        <w:t xml:space="preserve"> لعام </w:t>
      </w:r>
      <w:r w:rsidR="00690B6F" w:rsidRPr="00227340">
        <w:rPr>
          <w:rFonts w:cs="Simplified Arabic"/>
          <w:b/>
          <w:bCs/>
          <w:sz w:val="28"/>
          <w:szCs w:val="28"/>
        </w:rPr>
        <w:t>2019</w:t>
      </w:r>
    </w:p>
    <w:p w:rsidR="00CC3C27" w:rsidRPr="00227340" w:rsidRDefault="00CC3C27" w:rsidP="00690B6F">
      <w:pPr>
        <w:spacing w:before="100" w:beforeAutospacing="1" w:after="100" w:afterAutospacing="1"/>
        <w:jc w:val="both"/>
        <w:rPr>
          <w:rFonts w:cs="Simplified Arabic"/>
          <w:rtl/>
        </w:rPr>
      </w:pPr>
      <w:r w:rsidRPr="00227340">
        <w:rPr>
          <w:rFonts w:cs="Simplified Arabic" w:hint="eastAsia"/>
          <w:rtl/>
        </w:rPr>
        <w:t>تم</w:t>
      </w:r>
      <w:r w:rsidRPr="00227340">
        <w:rPr>
          <w:rFonts w:cs="Simplified Arabic"/>
          <w:rtl/>
        </w:rPr>
        <w:t xml:space="preserve"> </w:t>
      </w:r>
      <w:r w:rsidR="00B128A8" w:rsidRPr="00227340">
        <w:rPr>
          <w:rFonts w:cs="Simplified Arabic" w:hint="cs"/>
          <w:rtl/>
        </w:rPr>
        <w:t>إعداد</w:t>
      </w:r>
      <w:r w:rsidRPr="00227340">
        <w:rPr>
          <w:rFonts w:cs="Simplified Arabic"/>
          <w:rtl/>
        </w:rPr>
        <w:t xml:space="preserve"> </w:t>
      </w:r>
      <w:r w:rsidRPr="00227340">
        <w:rPr>
          <w:rFonts w:cs="Simplified Arabic" w:hint="eastAsia"/>
          <w:rtl/>
        </w:rPr>
        <w:t>التنبؤات</w:t>
      </w:r>
      <w:r w:rsidR="003C5A40" w:rsidRPr="00227340">
        <w:rPr>
          <w:rFonts w:cs="Simplified Arabic" w:hint="cs"/>
          <w:rtl/>
        </w:rPr>
        <w:t xml:space="preserve"> الواردة أدناه</w:t>
      </w:r>
      <w:r w:rsidRPr="00227340">
        <w:rPr>
          <w:rFonts w:cs="Simplified Arabic"/>
          <w:rtl/>
        </w:rPr>
        <w:t xml:space="preserve"> بالاعتماد على</w:t>
      </w:r>
      <w:r w:rsidRPr="00227340">
        <w:rPr>
          <w:rFonts w:cs="Simplified Arabic" w:hint="cs"/>
          <w:rtl/>
        </w:rPr>
        <w:t xml:space="preserve"> مجموعة من</w:t>
      </w:r>
      <w:r w:rsidRPr="00227340">
        <w:rPr>
          <w:rFonts w:cs="Simplified Arabic"/>
          <w:rtl/>
        </w:rPr>
        <w:t xml:space="preserve"> </w:t>
      </w:r>
      <w:r w:rsidRPr="00227340">
        <w:rPr>
          <w:rFonts w:cs="Simplified Arabic" w:hint="cs"/>
          <w:rtl/>
        </w:rPr>
        <w:t>ال</w:t>
      </w:r>
      <w:r w:rsidRPr="00227340">
        <w:rPr>
          <w:rFonts w:cs="Simplified Arabic"/>
          <w:rtl/>
        </w:rPr>
        <w:t>سيناريوهات</w:t>
      </w:r>
      <w:r w:rsidR="00213D08" w:rsidRPr="00227340">
        <w:rPr>
          <w:rFonts w:cs="Simplified Arabic" w:hint="cs"/>
          <w:rtl/>
        </w:rPr>
        <w:t xml:space="preserve"> المبنية على مستوى فلسطين والتي لا تفصل بين الضفة الغربية وقطاع غزة رغم الفجوة بينهما</w:t>
      </w:r>
      <w:r w:rsidR="006069A4" w:rsidRPr="00227340">
        <w:rPr>
          <w:rFonts w:cs="Simplified Arabic" w:hint="cs"/>
          <w:rtl/>
        </w:rPr>
        <w:t xml:space="preserve">، وذلك بالتشاور </w:t>
      </w:r>
      <w:r w:rsidRPr="00227340">
        <w:rPr>
          <w:rFonts w:cs="Simplified Arabic" w:hint="cs"/>
          <w:rtl/>
        </w:rPr>
        <w:t xml:space="preserve">مع </w:t>
      </w:r>
      <w:r w:rsidR="008C00A1" w:rsidRPr="00227340">
        <w:rPr>
          <w:rFonts w:cs="Simplified Arabic" w:hint="cs"/>
          <w:rtl/>
        </w:rPr>
        <w:t xml:space="preserve">أعضاء اللجنة الاستشارية للاحصاءات الاقتصادية من </w:t>
      </w:r>
      <w:r w:rsidRPr="00227340">
        <w:rPr>
          <w:rFonts w:cs="Simplified Arabic" w:hint="cs"/>
          <w:rtl/>
        </w:rPr>
        <w:t>الأكاديميي</w:t>
      </w:r>
      <w:r w:rsidRPr="00227340">
        <w:rPr>
          <w:rFonts w:cs="Simplified Arabic" w:hint="eastAsia"/>
          <w:rtl/>
        </w:rPr>
        <w:t>ن</w:t>
      </w:r>
      <w:r w:rsidR="00AD54F4" w:rsidRPr="00227340">
        <w:rPr>
          <w:rFonts w:cs="Simplified Arabic" w:hint="cs"/>
          <w:rtl/>
        </w:rPr>
        <w:t xml:space="preserve"> والاقتصاديين المحليين</w:t>
      </w:r>
      <w:r w:rsidRPr="00227340">
        <w:rPr>
          <w:rFonts w:cs="Simplified Arabic" w:hint="cs"/>
          <w:rtl/>
        </w:rPr>
        <w:t>،</w:t>
      </w:r>
      <w:r w:rsidR="008C00A1" w:rsidRPr="00227340">
        <w:rPr>
          <w:rFonts w:cs="Simplified Arabic" w:hint="cs"/>
          <w:rtl/>
        </w:rPr>
        <w:t xml:space="preserve"> بالاضافة إ</w:t>
      </w:r>
      <w:r w:rsidR="00A1025A" w:rsidRPr="00227340">
        <w:rPr>
          <w:rFonts w:cs="Simplified Arabic" w:hint="cs"/>
          <w:rtl/>
        </w:rPr>
        <w:t>لى وزارة المالية وسلطة النقد الفلسطينية</w:t>
      </w:r>
      <w:r w:rsidR="00AF4F5D" w:rsidRPr="00227340">
        <w:rPr>
          <w:rFonts w:cs="Simplified Arabic" w:hint="cs"/>
          <w:rtl/>
        </w:rPr>
        <w:t>،</w:t>
      </w:r>
      <w:r w:rsidRPr="00227340">
        <w:rPr>
          <w:rFonts w:cs="Simplified Arabic" w:hint="cs"/>
          <w:rtl/>
        </w:rPr>
        <w:t xml:space="preserve"> حيث</w:t>
      </w:r>
      <w:r w:rsidRPr="00227340">
        <w:rPr>
          <w:rFonts w:cs="Simplified Arabic"/>
          <w:rtl/>
        </w:rPr>
        <w:t xml:space="preserve"> </w:t>
      </w:r>
      <w:r w:rsidRPr="00227340">
        <w:rPr>
          <w:rFonts w:cs="Simplified Arabic" w:hint="eastAsia"/>
          <w:rtl/>
        </w:rPr>
        <w:t>تم</w:t>
      </w:r>
      <w:r w:rsidRPr="00227340">
        <w:rPr>
          <w:rFonts w:cs="Simplified Arabic"/>
          <w:rtl/>
        </w:rPr>
        <w:t xml:space="preserve"> بناء كل سيناريو بالاعتماد على </w:t>
      </w:r>
      <w:r w:rsidR="00A1025A" w:rsidRPr="00227340">
        <w:rPr>
          <w:rFonts w:cs="Simplified Arabic" w:hint="cs"/>
          <w:rtl/>
        </w:rPr>
        <w:t>تحديد بعض مظاهر وملامح ال</w:t>
      </w:r>
      <w:r w:rsidR="00A1025A" w:rsidRPr="00227340">
        <w:rPr>
          <w:rFonts w:cs="Simplified Arabic"/>
          <w:rtl/>
        </w:rPr>
        <w:t>وضع السياسي</w:t>
      </w:r>
      <w:r w:rsidR="00A1025A" w:rsidRPr="00227340">
        <w:rPr>
          <w:rFonts w:cs="Simplified Arabic" w:hint="cs"/>
          <w:rtl/>
        </w:rPr>
        <w:t xml:space="preserve"> والاقتصادي للعام </w:t>
      </w:r>
      <w:r w:rsidR="00690B6F" w:rsidRPr="00227340">
        <w:rPr>
          <w:rFonts w:cs="Simplified Arabic"/>
        </w:rPr>
        <w:t>2019</w:t>
      </w:r>
      <w:r w:rsidR="00AF4F5D" w:rsidRPr="00227340">
        <w:rPr>
          <w:rFonts w:cs="Simplified Arabic" w:hint="cs"/>
          <w:rtl/>
        </w:rPr>
        <w:t>،</w:t>
      </w:r>
      <w:r w:rsidR="00A1025A" w:rsidRPr="00227340">
        <w:rPr>
          <w:rFonts w:cs="Simplified Arabic" w:hint="cs"/>
          <w:rtl/>
        </w:rPr>
        <w:t xml:space="preserve"> ومنها</w:t>
      </w:r>
      <w:r w:rsidR="00AF4F5D" w:rsidRPr="00227340">
        <w:rPr>
          <w:rFonts w:cs="Simplified Arabic" w:hint="cs"/>
          <w:rtl/>
        </w:rPr>
        <w:t xml:space="preserve"> </w:t>
      </w:r>
      <w:r w:rsidRPr="00227340">
        <w:rPr>
          <w:rFonts w:cs="Simplified Arabic"/>
          <w:rtl/>
        </w:rPr>
        <w:t xml:space="preserve">الحصار </w:t>
      </w:r>
      <w:r w:rsidRPr="00227340">
        <w:rPr>
          <w:rFonts w:cs="Simplified Arabic" w:hint="cs"/>
          <w:rtl/>
        </w:rPr>
        <w:t>المفروض على قطاع غزة،</w:t>
      </w:r>
      <w:r w:rsidRPr="00227340">
        <w:rPr>
          <w:rFonts w:cs="Simplified Arabic"/>
          <w:rtl/>
        </w:rPr>
        <w:t xml:space="preserve"> </w:t>
      </w:r>
      <w:r w:rsidRPr="00227340">
        <w:rPr>
          <w:rFonts w:cs="Simplified Arabic" w:hint="eastAsia"/>
          <w:rtl/>
        </w:rPr>
        <w:t>المساعدات</w:t>
      </w:r>
      <w:r w:rsidRPr="00227340">
        <w:rPr>
          <w:rFonts w:cs="Simplified Arabic"/>
          <w:rtl/>
        </w:rPr>
        <w:t xml:space="preserve"> الخارجية، الإجراءات الإسرائيلية في فلسطين وعدد العاملين </w:t>
      </w:r>
      <w:r w:rsidRPr="00227340">
        <w:rPr>
          <w:rFonts w:cs="Simplified Arabic" w:hint="eastAsia"/>
          <w:rtl/>
        </w:rPr>
        <w:t>الفلسطينيين</w:t>
      </w:r>
      <w:r w:rsidRPr="00227340">
        <w:rPr>
          <w:rFonts w:cs="Simplified Arabic"/>
          <w:rtl/>
        </w:rPr>
        <w:t xml:space="preserve"> داخل إسرائيل</w:t>
      </w:r>
      <w:r w:rsidRPr="00227340">
        <w:rPr>
          <w:rFonts w:cs="Simplified Arabic" w:hint="cs"/>
          <w:rtl/>
        </w:rPr>
        <w:t xml:space="preserve">، إضافةً إلى مجموعة من المتغيرات الاقتصادية والاجتماعية. </w:t>
      </w:r>
    </w:p>
    <w:p w:rsidR="00CC3C27" w:rsidRPr="00227340" w:rsidRDefault="00CC3C27" w:rsidP="00F55796">
      <w:pPr>
        <w:pStyle w:val="ListParagraph"/>
        <w:numPr>
          <w:ilvl w:val="0"/>
          <w:numId w:val="36"/>
        </w:numPr>
        <w:ind w:right="720"/>
        <w:contextualSpacing w:val="0"/>
        <w:rPr>
          <w:rFonts w:ascii="Simplified Arabic" w:hAnsi="Simplified Arabic" w:cs="Simplified Arabic"/>
          <w:b/>
          <w:bCs/>
          <w:rtl/>
        </w:rPr>
      </w:pPr>
      <w:r w:rsidRPr="00227340">
        <w:rPr>
          <w:rFonts w:cs="Simplified Arabic" w:hint="cs"/>
          <w:rtl/>
        </w:rPr>
        <w:t xml:space="preserve"> </w:t>
      </w:r>
      <w:r w:rsidRPr="00227340">
        <w:rPr>
          <w:rFonts w:ascii="Simplified Arabic" w:hAnsi="Simplified Arabic" w:cs="Simplified Arabic" w:hint="cs"/>
          <w:b/>
          <w:bCs/>
          <w:rtl/>
        </w:rPr>
        <w:t>سيناريو الأساس</w:t>
      </w:r>
      <w:r w:rsidR="00F55796" w:rsidRPr="00227340">
        <w:rPr>
          <w:rStyle w:val="FootnoteReference"/>
          <w:rFonts w:ascii="Simplified Arabic" w:hAnsi="Simplified Arabic"/>
          <w:b w:val="0"/>
          <w:bCs w:val="0"/>
          <w:color w:val="auto"/>
          <w:rtl/>
        </w:rPr>
        <w:footnoteReference w:id="4"/>
      </w:r>
      <w:r w:rsidRPr="00227340">
        <w:rPr>
          <w:rFonts w:ascii="Simplified Arabic" w:hAnsi="Simplified Arabic" w:cs="Simplified Arabic" w:hint="cs"/>
          <w:b/>
          <w:bCs/>
          <w:rtl/>
        </w:rPr>
        <w:t>:</w:t>
      </w:r>
    </w:p>
    <w:p w:rsidR="00260D63" w:rsidRPr="00227340" w:rsidRDefault="00260D63" w:rsidP="00F31E47">
      <w:pPr>
        <w:jc w:val="both"/>
        <w:rPr>
          <w:rFonts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 xml:space="preserve">يستند </w:t>
      </w:r>
      <w:r w:rsidRPr="00227340">
        <w:rPr>
          <w:rFonts w:cs="Simplified Arabic" w:hint="cs"/>
          <w:rtl/>
        </w:rPr>
        <w:t xml:space="preserve">هذا السيناريو إلى فرضية استمرار الوضع الاقتصادي والسياسي في فلسطين </w:t>
      </w:r>
      <w:r w:rsidR="00AF4F5D" w:rsidRPr="00227340">
        <w:rPr>
          <w:rFonts w:cs="Simplified Arabic" w:hint="cs"/>
          <w:rtl/>
        </w:rPr>
        <w:t>ك</w:t>
      </w:r>
      <w:r w:rsidRPr="00227340">
        <w:rPr>
          <w:rFonts w:cs="Simplified Arabic" w:hint="cs"/>
          <w:rtl/>
        </w:rPr>
        <w:t xml:space="preserve">ما كان عليه خلال العام </w:t>
      </w:r>
      <w:r w:rsidR="00690B6F" w:rsidRPr="00227340">
        <w:rPr>
          <w:rFonts w:cs="Simplified Arabic"/>
        </w:rPr>
        <w:t>2018</w:t>
      </w:r>
      <w:r w:rsidRPr="00227340">
        <w:rPr>
          <w:rFonts w:cs="Simplified Arabic"/>
          <w:rtl/>
        </w:rPr>
        <w:t>،</w:t>
      </w:r>
      <w:r w:rsidRPr="00227340">
        <w:rPr>
          <w:rFonts w:cs="Simplified Arabic" w:hint="cs"/>
          <w:rtl/>
        </w:rPr>
        <w:t xml:space="preserve"> </w:t>
      </w:r>
      <w:r w:rsidR="00E233DE" w:rsidRPr="00227340">
        <w:rPr>
          <w:rFonts w:cs="Simplified Arabic" w:hint="cs"/>
          <w:rtl/>
        </w:rPr>
        <w:t xml:space="preserve">واستمرار الوضع الراهن بين </w:t>
      </w:r>
      <w:r w:rsidR="006069A4" w:rsidRPr="00227340">
        <w:rPr>
          <w:rFonts w:cs="Simplified Arabic" w:hint="cs"/>
          <w:rtl/>
        </w:rPr>
        <w:t xml:space="preserve">الجانبين الفلسطيني والاسرائيلي، </w:t>
      </w:r>
      <w:r w:rsidR="00072492" w:rsidRPr="00227340">
        <w:rPr>
          <w:rFonts w:cs="Simplified Arabic" w:hint="cs"/>
          <w:rtl/>
        </w:rPr>
        <w:t>وتراجع</w:t>
      </w:r>
      <w:r w:rsidR="00E233DE" w:rsidRPr="00227340">
        <w:rPr>
          <w:rFonts w:cs="Simplified Arabic" w:hint="cs"/>
          <w:rtl/>
        </w:rPr>
        <w:t xml:space="preserve"> </w:t>
      </w:r>
      <w:r w:rsidRPr="00227340">
        <w:rPr>
          <w:rFonts w:cs="Simplified Arabic" w:hint="cs"/>
          <w:rtl/>
        </w:rPr>
        <w:t>الدعم المالي</w:t>
      </w:r>
      <w:r w:rsidR="00E27962" w:rsidRPr="00227340">
        <w:rPr>
          <w:rFonts w:cs="Simplified Arabic" w:hint="cs"/>
          <w:rtl/>
        </w:rPr>
        <w:t xml:space="preserve"> الذي تقدمه الدول المانحة </w:t>
      </w:r>
      <w:r w:rsidRPr="00227340">
        <w:rPr>
          <w:rFonts w:cs="Simplified Arabic" w:hint="cs"/>
          <w:rtl/>
        </w:rPr>
        <w:t xml:space="preserve"> لتمويل موازنة دولة فلسطين (الحكومة المركزية)</w:t>
      </w:r>
      <w:r w:rsidR="00E233DE" w:rsidRPr="00227340">
        <w:rPr>
          <w:rFonts w:cs="Simplified Arabic" w:hint="cs"/>
          <w:rtl/>
        </w:rPr>
        <w:t xml:space="preserve">، </w:t>
      </w:r>
      <w:r w:rsidR="00F31E47" w:rsidRPr="00227340">
        <w:rPr>
          <w:rFonts w:cs="Simplified Arabic" w:hint="cs"/>
          <w:rtl/>
        </w:rPr>
        <w:t>وتراجع في</w:t>
      </w:r>
      <w:r w:rsidRPr="00227340">
        <w:rPr>
          <w:rFonts w:cs="Simplified Arabic" w:hint="cs"/>
          <w:rtl/>
        </w:rPr>
        <w:t xml:space="preserve"> </w:t>
      </w:r>
      <w:r w:rsidR="00F31E47" w:rsidRPr="00227340">
        <w:rPr>
          <w:rFonts w:cs="Simplified Arabic" w:hint="cs"/>
          <w:rtl/>
        </w:rPr>
        <w:t>إ</w:t>
      </w:r>
      <w:r w:rsidRPr="00227340">
        <w:rPr>
          <w:rFonts w:cs="Simplified Arabic" w:hint="cs"/>
          <w:rtl/>
        </w:rPr>
        <w:t>يرادات ال</w:t>
      </w:r>
      <w:r w:rsidR="00F31E47" w:rsidRPr="00227340">
        <w:rPr>
          <w:rFonts w:cs="Simplified Arabic" w:hint="cs"/>
          <w:rtl/>
        </w:rPr>
        <w:t>مقاصة</w:t>
      </w:r>
      <w:r w:rsidRPr="00227340">
        <w:rPr>
          <w:rFonts w:cs="Simplified Arabic" w:hint="cs"/>
          <w:rtl/>
        </w:rPr>
        <w:t xml:space="preserve">، </w:t>
      </w:r>
      <w:r w:rsidR="00BF6AD1" w:rsidRPr="00227340">
        <w:rPr>
          <w:rFonts w:cs="Simplified Arabic" w:hint="cs"/>
          <w:rtl/>
        </w:rPr>
        <w:t>بالاضافة الى زيادة التحويلات الحكومية</w:t>
      </w:r>
      <w:r w:rsidR="00072FDA" w:rsidRPr="00227340">
        <w:rPr>
          <w:rFonts w:cs="Simplified Arabic" w:hint="cs"/>
          <w:rtl/>
        </w:rPr>
        <w:t>، وارتفاع تحصيل لضريبة الدخل</w:t>
      </w:r>
      <w:r w:rsidR="003A0B28" w:rsidRPr="00227340">
        <w:rPr>
          <w:rFonts w:cs="Simplified Arabic" w:hint="cs"/>
          <w:rtl/>
        </w:rPr>
        <w:t xml:space="preserve"> وارتفاع في قيمة التسهيلات الائتمانية</w:t>
      </w:r>
      <w:r w:rsidR="00E233DE" w:rsidRPr="00227340">
        <w:rPr>
          <w:rFonts w:cs="Simplified Arabic" w:hint="cs"/>
          <w:rtl/>
        </w:rPr>
        <w:t>.</w:t>
      </w:r>
      <w:r w:rsidR="00924484" w:rsidRPr="00227340">
        <w:rPr>
          <w:rFonts w:cs="Simplified Arabic" w:hint="cs"/>
          <w:rtl/>
        </w:rPr>
        <w:t xml:space="preserve"> </w:t>
      </w:r>
      <w:r w:rsidR="00446E93" w:rsidRPr="00227340">
        <w:rPr>
          <w:rFonts w:cs="Simplified Arabic" w:hint="cs"/>
          <w:rtl/>
        </w:rPr>
        <w:t xml:space="preserve"> </w:t>
      </w:r>
      <w:r w:rsidR="00E233DE" w:rsidRPr="00227340">
        <w:rPr>
          <w:rFonts w:cs="Simplified Arabic" w:hint="cs"/>
          <w:rtl/>
        </w:rPr>
        <w:t xml:space="preserve"> </w:t>
      </w:r>
      <w:r w:rsidR="00924484" w:rsidRPr="00227340">
        <w:rPr>
          <w:rFonts w:cs="Simplified Arabic" w:hint="cs"/>
          <w:rtl/>
        </w:rPr>
        <w:t>و</w:t>
      </w:r>
      <w:r w:rsidRPr="00227340">
        <w:rPr>
          <w:rFonts w:cs="Simplified Arabic"/>
          <w:rtl/>
        </w:rPr>
        <w:t xml:space="preserve">استمرار وجود العراقيل التي تضعها إسرائيل </w:t>
      </w:r>
      <w:r w:rsidR="00924484" w:rsidRPr="00227340">
        <w:rPr>
          <w:rFonts w:cs="Simplified Arabic" w:hint="cs"/>
          <w:rtl/>
        </w:rPr>
        <w:t>على</w:t>
      </w:r>
      <w:r w:rsidRPr="00227340">
        <w:rPr>
          <w:rFonts w:cs="Simplified Arabic"/>
          <w:rtl/>
        </w:rPr>
        <w:t xml:space="preserve"> </w:t>
      </w:r>
      <w:r w:rsidRPr="00227340">
        <w:rPr>
          <w:rFonts w:cs="Simplified Arabic" w:hint="cs"/>
          <w:rtl/>
        </w:rPr>
        <w:t xml:space="preserve">حركة </w:t>
      </w:r>
      <w:r w:rsidRPr="00227340">
        <w:rPr>
          <w:rFonts w:cs="Simplified Arabic" w:hint="eastAsia"/>
          <w:rtl/>
        </w:rPr>
        <w:t>الأشخاص</w:t>
      </w:r>
      <w:r w:rsidRPr="00227340">
        <w:rPr>
          <w:rFonts w:cs="Simplified Arabic"/>
          <w:rtl/>
        </w:rPr>
        <w:t xml:space="preserve"> والبضائع داخل </w:t>
      </w:r>
      <w:r w:rsidRPr="00227340">
        <w:rPr>
          <w:rFonts w:cs="Simplified Arabic" w:hint="cs"/>
          <w:rtl/>
        </w:rPr>
        <w:t>فلسطين</w:t>
      </w:r>
      <w:r w:rsidRPr="00227340">
        <w:rPr>
          <w:rFonts w:cs="Simplified Arabic"/>
          <w:rtl/>
        </w:rPr>
        <w:t xml:space="preserve"> أو بين </w:t>
      </w:r>
      <w:r w:rsidRPr="00227340">
        <w:rPr>
          <w:rFonts w:cs="Simplified Arabic" w:hint="cs"/>
          <w:rtl/>
        </w:rPr>
        <w:t>فلسطين</w:t>
      </w:r>
      <w:r w:rsidRPr="00227340">
        <w:rPr>
          <w:rFonts w:cs="Simplified Arabic"/>
          <w:rtl/>
        </w:rPr>
        <w:t xml:space="preserve"> والدول </w:t>
      </w:r>
      <w:r w:rsidRPr="00227340">
        <w:rPr>
          <w:rFonts w:cs="Simplified Arabic" w:hint="eastAsia"/>
          <w:rtl/>
        </w:rPr>
        <w:t>المجاورة</w:t>
      </w:r>
      <w:r w:rsidR="009E57EC" w:rsidRPr="00227340">
        <w:rPr>
          <w:rFonts w:cs="Simplified Arabic" w:hint="cs"/>
          <w:rtl/>
        </w:rPr>
        <w:t xml:space="preserve"> كما كانت عليه خلال عام </w:t>
      </w:r>
      <w:r w:rsidR="00690B6F" w:rsidRPr="00227340">
        <w:rPr>
          <w:rFonts w:cs="Simplified Arabic"/>
        </w:rPr>
        <w:t>2018</w:t>
      </w:r>
      <w:r w:rsidRPr="00227340">
        <w:rPr>
          <w:rFonts w:cs="Simplified Arabic" w:hint="cs"/>
          <w:rtl/>
        </w:rPr>
        <w:t>، بالإضافة للنمو الطبيعي في أعداد السكان داخل فلسطين.</w:t>
      </w:r>
    </w:p>
    <w:p w:rsidR="00260D63" w:rsidRPr="00227340" w:rsidRDefault="005030D2" w:rsidP="005030D2">
      <w:pPr>
        <w:tabs>
          <w:tab w:val="left" w:pos="1431"/>
        </w:tabs>
        <w:jc w:val="both"/>
        <w:rPr>
          <w:rFonts w:cs="Simplified Arabic"/>
          <w:rtl/>
        </w:rPr>
      </w:pPr>
      <w:r w:rsidRPr="00227340">
        <w:rPr>
          <w:rFonts w:cs="Simplified Arabic"/>
          <w:rtl/>
        </w:rPr>
        <w:tab/>
      </w:r>
    </w:p>
    <w:p w:rsidR="00B07BD1" w:rsidRPr="00227340" w:rsidRDefault="003C5A40" w:rsidP="00B07BD1">
      <w:pPr>
        <w:jc w:val="both"/>
        <w:rPr>
          <w:rFonts w:ascii="Simplified Arabic" w:hAnsi="Simplified Arabic" w:cs="Simplified Arabic"/>
          <w:b/>
          <w:bCs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>توقعات</w:t>
      </w:r>
      <w:r w:rsidR="00B07BD1" w:rsidRPr="00227340">
        <w:rPr>
          <w:rFonts w:ascii="Simplified Arabic" w:hAnsi="Simplified Arabic" w:cs="Simplified Arabic" w:hint="cs"/>
          <w:b/>
          <w:bCs/>
          <w:rtl/>
        </w:rPr>
        <w:t xml:space="preserve"> سيناريو الأساس:</w:t>
      </w:r>
    </w:p>
    <w:p w:rsidR="00CA473D" w:rsidRPr="00227340" w:rsidRDefault="00B07BD1" w:rsidP="00B07BD1">
      <w:pPr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>القطاع الحقيقي</w:t>
      </w:r>
      <w:r w:rsidRPr="00227340">
        <w:rPr>
          <w:rFonts w:ascii="Simplified Arabic" w:hAnsi="Simplified Arabic" w:cs="Simplified Arabic" w:hint="cs"/>
          <w:rtl/>
        </w:rPr>
        <w:t xml:space="preserve">: </w:t>
      </w:r>
    </w:p>
    <w:p w:rsidR="00B07BD1" w:rsidRPr="00227340" w:rsidRDefault="00CA473D" w:rsidP="005E73E0">
      <w:pPr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 xml:space="preserve">الناتج المحلي الاجمالي: </w:t>
      </w:r>
      <w:r w:rsidR="00B07BD1" w:rsidRPr="00227340">
        <w:rPr>
          <w:rFonts w:ascii="Simplified Arabic" w:hAnsi="Simplified Arabic" w:cs="Simplified Arabic" w:hint="cs"/>
          <w:rtl/>
        </w:rPr>
        <w:t xml:space="preserve">من المتوقع ارتفاع </w:t>
      </w:r>
      <w:r w:rsidR="001D439F" w:rsidRPr="00227340">
        <w:rPr>
          <w:rFonts w:ascii="Simplified Arabic" w:hAnsi="Simplified Arabic" w:cs="Simplified Arabic" w:hint="cs"/>
          <w:rtl/>
        </w:rPr>
        <w:t xml:space="preserve">قيمة </w:t>
      </w:r>
      <w:r w:rsidR="00B07BD1" w:rsidRPr="00227340">
        <w:rPr>
          <w:rFonts w:ascii="Simplified Arabic" w:hAnsi="Simplified Arabic" w:cs="Simplified Arabic" w:hint="cs"/>
          <w:rtl/>
        </w:rPr>
        <w:t xml:space="preserve">الناتج المحلي الإجمالي بنسبة </w:t>
      </w:r>
      <w:r w:rsidR="00A87C84" w:rsidRPr="00227340">
        <w:rPr>
          <w:rFonts w:ascii="Simplified Arabic" w:hAnsi="Simplified Arabic" w:cs="Simplified Arabic" w:hint="cs"/>
          <w:rtl/>
        </w:rPr>
        <w:t>0.5</w:t>
      </w:r>
      <w:r w:rsidR="00B07BD1" w:rsidRPr="00227340">
        <w:rPr>
          <w:rFonts w:ascii="Simplified Arabic" w:hAnsi="Simplified Arabic" w:cs="Simplified Arabic" w:hint="cs"/>
          <w:rtl/>
        </w:rPr>
        <w:t xml:space="preserve">% خلال عام </w:t>
      </w:r>
      <w:r w:rsidR="00690B6F" w:rsidRPr="00227340">
        <w:rPr>
          <w:rFonts w:ascii="Simplified Arabic" w:hAnsi="Simplified Arabic" w:cs="Simplified Arabic"/>
        </w:rPr>
        <w:t>2019</w:t>
      </w:r>
      <w:r w:rsidR="00B07BD1" w:rsidRPr="00227340">
        <w:rPr>
          <w:rFonts w:ascii="Simplified Arabic" w:hAnsi="Simplified Arabic" w:cs="Simplified Arabic" w:hint="cs"/>
          <w:rtl/>
        </w:rPr>
        <w:t xml:space="preserve">، </w:t>
      </w:r>
      <w:r w:rsidR="00A87C84" w:rsidRPr="00227340">
        <w:rPr>
          <w:rFonts w:ascii="Simplified Arabic" w:hAnsi="Simplified Arabic" w:cs="Simplified Arabic" w:hint="cs"/>
          <w:rtl/>
        </w:rPr>
        <w:t>وانخفاض</w:t>
      </w:r>
      <w:r w:rsidR="00B07BD1" w:rsidRPr="00227340">
        <w:rPr>
          <w:rFonts w:ascii="Simplified Arabic" w:hAnsi="Simplified Arabic" w:cs="Simplified Arabic" w:hint="cs"/>
          <w:rtl/>
        </w:rPr>
        <w:t xml:space="preserve"> </w:t>
      </w:r>
      <w:r w:rsidR="001D439F" w:rsidRPr="00227340">
        <w:rPr>
          <w:rFonts w:ascii="Simplified Arabic" w:hAnsi="Simplified Arabic" w:cs="Simplified Arabic" w:hint="cs"/>
          <w:rtl/>
        </w:rPr>
        <w:t xml:space="preserve">قيمة </w:t>
      </w:r>
      <w:r w:rsidR="00B07BD1" w:rsidRPr="00227340">
        <w:rPr>
          <w:rFonts w:ascii="Simplified Arabic" w:hAnsi="Simplified Arabic" w:cs="Simplified Arabic" w:hint="cs"/>
          <w:rtl/>
        </w:rPr>
        <w:t>نصيب الفرد من</w:t>
      </w:r>
      <w:r w:rsidR="002A6E6B" w:rsidRPr="00227340">
        <w:rPr>
          <w:rFonts w:ascii="Simplified Arabic" w:hAnsi="Simplified Arabic" w:cs="Simplified Arabic" w:hint="cs"/>
          <w:rtl/>
        </w:rPr>
        <w:t>ه</w:t>
      </w:r>
      <w:r w:rsidR="00B07BD1" w:rsidRPr="00227340">
        <w:rPr>
          <w:rFonts w:ascii="Simplified Arabic" w:hAnsi="Simplified Arabic" w:cs="Simplified Arabic" w:hint="cs"/>
          <w:rtl/>
        </w:rPr>
        <w:t xml:space="preserve"> </w:t>
      </w:r>
      <w:r w:rsidR="00217DC2" w:rsidRPr="00227340">
        <w:rPr>
          <w:rFonts w:ascii="Simplified Arabic" w:hAnsi="Simplified Arabic" w:cs="Simplified Arabic" w:hint="cs"/>
          <w:rtl/>
        </w:rPr>
        <w:t xml:space="preserve">بنسبة </w:t>
      </w:r>
      <w:r w:rsidR="005E73E0" w:rsidRPr="00227340">
        <w:rPr>
          <w:rFonts w:ascii="Simplified Arabic" w:hAnsi="Simplified Arabic" w:cs="Simplified Arabic" w:hint="cs"/>
          <w:rtl/>
        </w:rPr>
        <w:t>2</w:t>
      </w:r>
      <w:r w:rsidR="00217DC2" w:rsidRPr="00227340">
        <w:rPr>
          <w:rFonts w:ascii="Simplified Arabic" w:hAnsi="Simplified Arabic" w:cs="Simplified Arabic" w:hint="cs"/>
          <w:rtl/>
        </w:rPr>
        <w:t>%،</w:t>
      </w:r>
      <w:r w:rsidR="00B07BD1" w:rsidRPr="00227340">
        <w:rPr>
          <w:rFonts w:ascii="Simplified Arabic" w:hAnsi="Simplified Arabic" w:cs="Simplified Arabic" w:hint="cs"/>
          <w:rtl/>
        </w:rPr>
        <w:t xml:space="preserve"> </w:t>
      </w:r>
      <w:r w:rsidR="00A87C84" w:rsidRPr="00227340">
        <w:rPr>
          <w:rFonts w:ascii="Simplified Arabic" w:hAnsi="Simplified Arabic" w:cs="Simplified Arabic" w:hint="cs"/>
          <w:rtl/>
        </w:rPr>
        <w:t>وا</w:t>
      </w:r>
      <w:r w:rsidR="00056D45" w:rsidRPr="00227340">
        <w:rPr>
          <w:rFonts w:ascii="Simplified Arabic" w:hAnsi="Simplified Arabic" w:cs="Simplified Arabic" w:hint="cs"/>
          <w:rtl/>
        </w:rPr>
        <w:t>ن</w:t>
      </w:r>
      <w:r w:rsidR="00A87C84" w:rsidRPr="00227340">
        <w:rPr>
          <w:rFonts w:ascii="Simplified Arabic" w:hAnsi="Simplified Arabic" w:cs="Simplified Arabic" w:hint="cs"/>
          <w:rtl/>
        </w:rPr>
        <w:t>خفاض</w:t>
      </w:r>
      <w:r w:rsidR="001D439F" w:rsidRPr="00227340">
        <w:rPr>
          <w:rFonts w:ascii="Simplified Arabic" w:hAnsi="Simplified Arabic" w:cs="Simplified Arabic" w:hint="cs"/>
          <w:rtl/>
        </w:rPr>
        <w:t xml:space="preserve"> قيمة</w:t>
      </w:r>
      <w:r w:rsidR="00B07BD1" w:rsidRPr="00227340">
        <w:rPr>
          <w:rFonts w:ascii="Simplified Arabic" w:hAnsi="Simplified Arabic" w:cs="Simplified Arabic" w:hint="cs"/>
          <w:rtl/>
        </w:rPr>
        <w:t xml:space="preserve"> إجمالي الاست</w:t>
      </w:r>
      <w:r w:rsidR="002A6E6B" w:rsidRPr="00227340">
        <w:rPr>
          <w:rFonts w:ascii="Simplified Arabic" w:hAnsi="Simplified Arabic" w:cs="Simplified Arabic" w:hint="cs"/>
          <w:rtl/>
        </w:rPr>
        <w:t xml:space="preserve">هلاك (الخاص والعام) بنسبة </w:t>
      </w:r>
      <w:r w:rsidR="00A87C84" w:rsidRPr="00227340">
        <w:rPr>
          <w:rFonts w:ascii="Simplified Arabic" w:hAnsi="Simplified Arabic" w:cs="Simplified Arabic" w:hint="cs"/>
          <w:rtl/>
        </w:rPr>
        <w:t>1</w:t>
      </w:r>
      <w:r w:rsidR="002A6E6B" w:rsidRPr="00227340">
        <w:rPr>
          <w:rFonts w:ascii="Simplified Arabic" w:hAnsi="Simplified Arabic" w:cs="Simplified Arabic" w:hint="cs"/>
          <w:rtl/>
        </w:rPr>
        <w:t>%،</w:t>
      </w:r>
      <w:r w:rsidR="003C1054" w:rsidRPr="00227340">
        <w:rPr>
          <w:rFonts w:ascii="Simplified Arabic" w:hAnsi="Simplified Arabic" w:cs="Simplified Arabic" w:hint="cs"/>
          <w:rtl/>
        </w:rPr>
        <w:t xml:space="preserve"> </w:t>
      </w:r>
      <w:r w:rsidR="00013731" w:rsidRPr="00227340">
        <w:rPr>
          <w:rFonts w:ascii="Simplified Arabic" w:hAnsi="Simplified Arabic" w:cs="Simplified Arabic" w:hint="cs"/>
          <w:rtl/>
        </w:rPr>
        <w:t xml:space="preserve">وارتفاع </w:t>
      </w:r>
      <w:r w:rsidR="001D439F" w:rsidRPr="00227340">
        <w:rPr>
          <w:rFonts w:ascii="Simplified Arabic" w:hAnsi="Simplified Arabic" w:cs="Simplified Arabic" w:hint="cs"/>
          <w:rtl/>
        </w:rPr>
        <w:t xml:space="preserve">قيمة </w:t>
      </w:r>
      <w:r w:rsidR="00056D45" w:rsidRPr="00227340">
        <w:rPr>
          <w:rFonts w:ascii="Simplified Arabic" w:hAnsi="Simplified Arabic" w:cs="Simplified Arabic" w:hint="cs"/>
          <w:rtl/>
        </w:rPr>
        <w:t>إجمالي الاستثمار</w:t>
      </w:r>
      <w:r w:rsidR="00B07BD1" w:rsidRPr="00227340">
        <w:rPr>
          <w:rFonts w:ascii="Simplified Arabic" w:hAnsi="Simplified Arabic" w:cs="Simplified Arabic" w:hint="cs"/>
          <w:rtl/>
        </w:rPr>
        <w:t xml:space="preserve"> بنسبة </w:t>
      </w:r>
      <w:r w:rsidR="005E73E0" w:rsidRPr="00227340">
        <w:rPr>
          <w:rFonts w:ascii="Simplified Arabic" w:hAnsi="Simplified Arabic" w:cs="Simplified Arabic" w:hint="cs"/>
          <w:rtl/>
        </w:rPr>
        <w:t>5</w:t>
      </w:r>
      <w:r w:rsidR="00B07BD1" w:rsidRPr="00227340">
        <w:rPr>
          <w:rFonts w:ascii="Simplified Arabic" w:hAnsi="Simplified Arabic" w:cs="Simplified Arabic" w:hint="cs"/>
          <w:rtl/>
        </w:rPr>
        <w:t>%.</w:t>
      </w:r>
    </w:p>
    <w:p w:rsidR="00B07BD1" w:rsidRPr="00227340" w:rsidRDefault="005030D2" w:rsidP="005030D2">
      <w:pPr>
        <w:tabs>
          <w:tab w:val="left" w:pos="1492"/>
        </w:tabs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/>
          <w:rtl/>
        </w:rPr>
        <w:tab/>
      </w:r>
    </w:p>
    <w:p w:rsidR="00CA473D" w:rsidRPr="00227340" w:rsidRDefault="00CA473D" w:rsidP="005E73E0">
      <w:pPr>
        <w:jc w:val="both"/>
        <w:rPr>
          <w:rFonts w:cs="Simplified Arabic"/>
          <w:rtl/>
          <w:lang w:val="fr-CH"/>
        </w:rPr>
      </w:pPr>
      <w:r w:rsidRPr="00227340">
        <w:rPr>
          <w:rFonts w:ascii="Simplified Arabic" w:hAnsi="Simplified Arabic" w:cs="Simplified Arabic" w:hint="cs"/>
          <w:rtl/>
        </w:rPr>
        <w:t xml:space="preserve">العمل والعمال: من المتوقع </w:t>
      </w:r>
      <w:r w:rsidRPr="00227340">
        <w:rPr>
          <w:rFonts w:cs="Simplified Arabic" w:hint="cs"/>
          <w:rtl/>
          <w:lang w:val="fr-CH"/>
        </w:rPr>
        <w:t xml:space="preserve">أن يرتفع عدد العاملين بنسبة </w:t>
      </w:r>
      <w:r w:rsidR="003D3B47" w:rsidRPr="00227340">
        <w:rPr>
          <w:rFonts w:cs="Simplified Arabic" w:hint="cs"/>
          <w:rtl/>
          <w:lang w:val="fr-CH"/>
        </w:rPr>
        <w:t>3</w:t>
      </w:r>
      <w:r w:rsidRPr="00227340">
        <w:rPr>
          <w:rFonts w:cs="Simplified Arabic" w:hint="cs"/>
          <w:rtl/>
          <w:lang w:val="fr-CH"/>
        </w:rPr>
        <w:t xml:space="preserve">% خلال العام </w:t>
      </w:r>
      <w:r w:rsidR="00690B6F" w:rsidRPr="00227340">
        <w:rPr>
          <w:rFonts w:cs="Simplified Arabic"/>
          <w:lang w:val="fr-CH"/>
        </w:rPr>
        <w:t>2019</w:t>
      </w:r>
      <w:r w:rsidR="002A6E6B" w:rsidRPr="00227340">
        <w:rPr>
          <w:rFonts w:cs="Simplified Arabic" w:hint="cs"/>
          <w:rtl/>
          <w:lang w:val="fr-CH"/>
        </w:rPr>
        <w:t>،</w:t>
      </w:r>
      <w:r w:rsidRPr="00227340">
        <w:rPr>
          <w:rFonts w:cs="Simplified Arabic" w:hint="cs"/>
          <w:rtl/>
          <w:lang w:val="fr-CH"/>
        </w:rPr>
        <w:t xml:space="preserve"> كما أن معدل البطالة </w:t>
      </w:r>
      <w:r w:rsidR="002A6E6B" w:rsidRPr="00227340">
        <w:rPr>
          <w:rFonts w:cs="Simplified Arabic" w:hint="cs"/>
          <w:rtl/>
          <w:lang w:val="fr-CH"/>
        </w:rPr>
        <w:t xml:space="preserve">من المتوقع </w:t>
      </w:r>
      <w:r w:rsidR="00AF4F5D" w:rsidRPr="00227340">
        <w:rPr>
          <w:rFonts w:cs="Simplified Arabic" w:hint="cs"/>
          <w:rtl/>
          <w:lang w:val="fr-CH"/>
        </w:rPr>
        <w:t>أ</w:t>
      </w:r>
      <w:r w:rsidR="002A6E6B" w:rsidRPr="00227340">
        <w:rPr>
          <w:rFonts w:cs="Simplified Arabic" w:hint="cs"/>
          <w:rtl/>
          <w:lang w:val="fr-CH"/>
        </w:rPr>
        <w:t xml:space="preserve">ن يصل </w:t>
      </w:r>
      <w:r w:rsidR="00AF4F5D" w:rsidRPr="00227340">
        <w:rPr>
          <w:rFonts w:cs="Simplified Arabic" w:hint="cs"/>
          <w:rtl/>
          <w:lang w:val="fr-CH"/>
        </w:rPr>
        <w:t>إ</w:t>
      </w:r>
      <w:r w:rsidRPr="00227340">
        <w:rPr>
          <w:rFonts w:cs="Simplified Arabic" w:hint="cs"/>
          <w:rtl/>
          <w:lang w:val="fr-CH"/>
        </w:rPr>
        <w:t xml:space="preserve">لى </w:t>
      </w:r>
      <w:r w:rsidR="003D3B47" w:rsidRPr="00227340">
        <w:rPr>
          <w:rFonts w:cs="Simplified Arabic" w:hint="cs"/>
          <w:rtl/>
          <w:lang w:val="fr-CH"/>
        </w:rPr>
        <w:t>31.5</w:t>
      </w:r>
      <w:r w:rsidR="00C66009" w:rsidRPr="00227340">
        <w:rPr>
          <w:rFonts w:cs="Simplified Arabic" w:hint="cs"/>
          <w:rtl/>
          <w:lang w:val="fr-CH"/>
        </w:rPr>
        <w:t>%</w:t>
      </w:r>
      <w:r w:rsidRPr="00227340">
        <w:rPr>
          <w:rFonts w:cs="Simplified Arabic" w:hint="cs"/>
          <w:rtl/>
          <w:lang w:val="fr-CH"/>
        </w:rPr>
        <w:t>.</w:t>
      </w:r>
    </w:p>
    <w:p w:rsidR="00CA473D" w:rsidRPr="00227340" w:rsidRDefault="00731ABB" w:rsidP="00731ABB">
      <w:pPr>
        <w:tabs>
          <w:tab w:val="left" w:pos="1120"/>
        </w:tabs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/>
          <w:rtl/>
        </w:rPr>
        <w:tab/>
      </w:r>
    </w:p>
    <w:p w:rsidR="007E226E" w:rsidRDefault="007E226E" w:rsidP="00CA473D">
      <w:pPr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7E226E" w:rsidRDefault="007E226E" w:rsidP="00CA473D">
      <w:pPr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CA473D" w:rsidRPr="00227340" w:rsidRDefault="00CA473D" w:rsidP="00CA473D">
      <w:pPr>
        <w:ind w:left="71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>قطاع المالية العامة</w:t>
      </w:r>
      <w:r w:rsidR="00B07BD1" w:rsidRPr="00227340">
        <w:rPr>
          <w:rFonts w:ascii="Simplified Arabic" w:hAnsi="Simplified Arabic" w:cs="Simplified Arabic" w:hint="cs"/>
          <w:rtl/>
        </w:rPr>
        <w:t xml:space="preserve">: </w:t>
      </w:r>
    </w:p>
    <w:p w:rsidR="00B07BD1" w:rsidRPr="00227340" w:rsidRDefault="00B07BD1" w:rsidP="002F130E">
      <w:pPr>
        <w:ind w:left="71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 xml:space="preserve">من المتوقع ارتفاع </w:t>
      </w:r>
      <w:r w:rsidR="004C6920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إجمالي الإيرادات الحكومية بنسبة </w:t>
      </w:r>
      <w:r w:rsidR="002F130E" w:rsidRPr="00227340">
        <w:rPr>
          <w:rFonts w:ascii="Simplified Arabic" w:hAnsi="Simplified Arabic" w:cs="Simplified Arabic" w:hint="cs"/>
          <w:rtl/>
        </w:rPr>
        <w:t>1</w:t>
      </w:r>
      <w:r w:rsidR="000F3933" w:rsidRPr="00227340">
        <w:rPr>
          <w:rFonts w:ascii="Simplified Arabic" w:hAnsi="Simplified Arabic" w:cs="Simplified Arabic" w:hint="cs"/>
          <w:rtl/>
        </w:rPr>
        <w:t>%</w:t>
      </w:r>
      <w:r w:rsidRPr="00227340">
        <w:rPr>
          <w:rFonts w:ascii="Simplified Arabic" w:hAnsi="Simplified Arabic" w:cs="Simplified Arabic" w:hint="cs"/>
          <w:rtl/>
        </w:rPr>
        <w:t>،</w:t>
      </w:r>
      <w:r w:rsidR="00731ABB" w:rsidRPr="00227340">
        <w:rPr>
          <w:rFonts w:ascii="Simplified Arabic" w:hAnsi="Simplified Arabic" w:cs="Simplified Arabic" w:hint="cs"/>
          <w:rtl/>
        </w:rPr>
        <w:t xml:space="preserve"> اضافة الى</w:t>
      </w:r>
      <w:r w:rsidRPr="00227340">
        <w:rPr>
          <w:rFonts w:ascii="Simplified Arabic" w:hAnsi="Simplified Arabic" w:cs="Simplified Arabic" w:hint="cs"/>
          <w:rtl/>
        </w:rPr>
        <w:t xml:space="preserve"> زيادة</w:t>
      </w:r>
      <w:r w:rsidR="004C6920" w:rsidRPr="00227340">
        <w:rPr>
          <w:rFonts w:ascii="Simplified Arabic" w:hAnsi="Simplified Arabic" w:cs="Simplified Arabic" w:hint="cs"/>
          <w:rtl/>
        </w:rPr>
        <w:t xml:space="preserve"> قيمة </w:t>
      </w:r>
      <w:r w:rsidRPr="00227340">
        <w:rPr>
          <w:rFonts w:ascii="Simplified Arabic" w:hAnsi="Simplified Arabic" w:cs="Simplified Arabic" w:hint="cs"/>
          <w:rtl/>
        </w:rPr>
        <w:t xml:space="preserve">النفقات الحكومية بنسبة </w:t>
      </w:r>
      <w:r w:rsidR="002F130E" w:rsidRPr="00227340">
        <w:rPr>
          <w:rFonts w:ascii="Simplified Arabic" w:hAnsi="Simplified Arabic" w:cs="Simplified Arabic" w:hint="cs"/>
          <w:rtl/>
        </w:rPr>
        <w:t>1</w:t>
      </w:r>
      <w:r w:rsidRPr="00227340">
        <w:rPr>
          <w:rFonts w:ascii="Simplified Arabic" w:hAnsi="Simplified Arabic" w:cs="Simplified Arabic" w:hint="cs"/>
          <w:rtl/>
        </w:rPr>
        <w:t xml:space="preserve">%، وبالتالي </w:t>
      </w:r>
      <w:r w:rsidR="000F3933" w:rsidRPr="00227340">
        <w:rPr>
          <w:rFonts w:ascii="Simplified Arabic" w:hAnsi="Simplified Arabic" w:cs="Simplified Arabic" w:hint="cs"/>
          <w:rtl/>
        </w:rPr>
        <w:t>ارتفاع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4C6920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عجز الموازنة العامة (الحكومة المركزية) بنسبة </w:t>
      </w:r>
      <w:r w:rsidR="000F3933" w:rsidRPr="00227340">
        <w:rPr>
          <w:rFonts w:ascii="Simplified Arabic" w:hAnsi="Simplified Arabic" w:cs="Simplified Arabic" w:hint="cs"/>
          <w:rtl/>
        </w:rPr>
        <w:t>1.3</w:t>
      </w:r>
      <w:r w:rsidRPr="00227340">
        <w:rPr>
          <w:rFonts w:ascii="Simplified Arabic" w:hAnsi="Simplified Arabic" w:cs="Simplified Arabic" w:hint="cs"/>
          <w:rtl/>
        </w:rPr>
        <w:t xml:space="preserve">%. </w:t>
      </w:r>
    </w:p>
    <w:p w:rsidR="00731ABB" w:rsidRPr="00227340" w:rsidRDefault="00731ABB" w:rsidP="00F37D65">
      <w:pPr>
        <w:ind w:left="71"/>
        <w:jc w:val="both"/>
        <w:rPr>
          <w:rFonts w:cs="Simplified Arabic"/>
          <w:b/>
          <w:bCs/>
          <w:rtl/>
          <w:lang w:val="fr-CH"/>
        </w:rPr>
      </w:pPr>
    </w:p>
    <w:p w:rsidR="00F37D65" w:rsidRPr="00227340" w:rsidRDefault="00B07BD1" w:rsidP="00F37D65">
      <w:pPr>
        <w:ind w:left="71"/>
        <w:jc w:val="both"/>
        <w:rPr>
          <w:rFonts w:cs="Simplified Arabic"/>
          <w:rtl/>
          <w:lang w:val="fr-CH"/>
        </w:rPr>
      </w:pPr>
      <w:r w:rsidRPr="00227340">
        <w:rPr>
          <w:rFonts w:cs="Simplified Arabic" w:hint="cs"/>
          <w:b/>
          <w:bCs/>
          <w:rtl/>
          <w:lang w:val="fr-CH"/>
        </w:rPr>
        <w:t>القطاع الخارجي</w:t>
      </w:r>
      <w:r w:rsidRPr="00227340">
        <w:rPr>
          <w:rFonts w:cs="Simplified Arabic" w:hint="cs"/>
          <w:rtl/>
          <w:lang w:val="fr-CH"/>
        </w:rPr>
        <w:t xml:space="preserve">: </w:t>
      </w:r>
    </w:p>
    <w:p w:rsidR="00B07BD1" w:rsidRPr="00227340" w:rsidRDefault="00B07BD1" w:rsidP="00466A51">
      <w:pPr>
        <w:ind w:left="71"/>
        <w:jc w:val="both"/>
        <w:rPr>
          <w:rFonts w:cs="Simplified Arabic"/>
          <w:rtl/>
          <w:lang w:val="fr-CH"/>
        </w:rPr>
      </w:pPr>
      <w:r w:rsidRPr="00227340">
        <w:rPr>
          <w:rFonts w:cs="Simplified Arabic" w:hint="cs"/>
          <w:rtl/>
          <w:lang w:val="fr-CH"/>
        </w:rPr>
        <w:t xml:space="preserve">من المتوقع </w:t>
      </w:r>
      <w:r w:rsidR="00941479" w:rsidRPr="00227340">
        <w:rPr>
          <w:rFonts w:cs="Simplified Arabic" w:hint="cs"/>
          <w:rtl/>
          <w:lang w:val="fr-CH"/>
        </w:rPr>
        <w:t>ارتفاع</w:t>
      </w:r>
      <w:r w:rsidR="00E35ADA" w:rsidRPr="00227340">
        <w:rPr>
          <w:rFonts w:cs="Simplified Arabic" w:hint="cs"/>
          <w:rtl/>
          <w:lang w:val="fr-CH"/>
        </w:rPr>
        <w:t xml:space="preserve"> قيمة</w:t>
      </w:r>
      <w:r w:rsidRPr="00227340">
        <w:rPr>
          <w:rFonts w:cs="Simplified Arabic" w:hint="cs"/>
          <w:rtl/>
          <w:lang w:val="fr-CH"/>
        </w:rPr>
        <w:t xml:space="preserve"> العجز في صافي الحساب الجاري</w:t>
      </w:r>
      <w:r w:rsidRPr="00227340">
        <w:rPr>
          <w:rStyle w:val="FootnoteReference"/>
          <w:color w:val="auto"/>
          <w:rtl/>
          <w:lang w:val="fr-CH"/>
        </w:rPr>
        <w:footnoteReference w:id="5"/>
      </w:r>
      <w:r w:rsidRPr="00227340">
        <w:rPr>
          <w:rFonts w:cs="Simplified Arabic" w:hint="cs"/>
          <w:rtl/>
          <w:lang w:val="fr-CH"/>
        </w:rPr>
        <w:t xml:space="preserve"> لفلسطين بنسبة </w:t>
      </w:r>
      <w:r w:rsidR="00820844" w:rsidRPr="00227340">
        <w:rPr>
          <w:rFonts w:cs="Simplified Arabic" w:hint="cs"/>
          <w:rtl/>
          <w:lang w:val="fr-CH"/>
        </w:rPr>
        <w:t>3</w:t>
      </w:r>
      <w:r w:rsidRPr="00227340">
        <w:rPr>
          <w:rFonts w:cs="Simplified Arabic" w:hint="cs"/>
          <w:rtl/>
          <w:lang w:val="fr-CH"/>
        </w:rPr>
        <w:t>%</w:t>
      </w:r>
      <w:r w:rsidR="00A06BE9" w:rsidRPr="00227340">
        <w:rPr>
          <w:rFonts w:cs="Simplified Arabic" w:hint="cs"/>
          <w:rtl/>
          <w:lang w:val="fr-CH"/>
        </w:rPr>
        <w:t>،</w:t>
      </w:r>
      <w:r w:rsidRPr="00227340">
        <w:rPr>
          <w:rFonts w:cs="Simplified Arabic" w:hint="cs"/>
          <w:rtl/>
          <w:lang w:val="fr-CH" w:bidi="ar-JO"/>
        </w:rPr>
        <w:t xml:space="preserve"> </w:t>
      </w:r>
      <w:r w:rsidR="009B025B" w:rsidRPr="00227340">
        <w:rPr>
          <w:rFonts w:cs="Simplified Arabic" w:hint="cs"/>
          <w:rtl/>
          <w:lang w:val="fr-CH" w:bidi="ar-JO"/>
        </w:rPr>
        <w:t>وانخفاض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E35ADA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عجز الميزان التجاري بنسبة </w:t>
      </w:r>
      <w:r w:rsidR="00466A51" w:rsidRPr="00227340">
        <w:rPr>
          <w:rFonts w:ascii="Simplified Arabic" w:hAnsi="Simplified Arabic" w:cs="Simplified Arabic" w:hint="cs"/>
          <w:rtl/>
        </w:rPr>
        <w:t>1</w:t>
      </w:r>
      <w:r w:rsidRPr="00227340">
        <w:rPr>
          <w:rFonts w:ascii="Simplified Arabic" w:hAnsi="Simplified Arabic" w:cs="Simplified Arabic" w:hint="cs"/>
          <w:rtl/>
        </w:rPr>
        <w:t>%</w:t>
      </w:r>
      <w:r w:rsidR="007547C7" w:rsidRPr="00227340">
        <w:rPr>
          <w:rFonts w:ascii="Simplified Arabic" w:hAnsi="Simplified Arabic" w:cs="Simplified Arabic" w:hint="cs"/>
          <w:rtl/>
        </w:rPr>
        <w:t xml:space="preserve">، </w:t>
      </w:r>
      <w:r w:rsidR="00B351F3" w:rsidRPr="00227340">
        <w:rPr>
          <w:rFonts w:ascii="Simplified Arabic" w:hAnsi="Simplified Arabic" w:cs="Simplified Arabic" w:hint="cs"/>
          <w:rtl/>
        </w:rPr>
        <w:t>نتيجة الزيادة</w:t>
      </w:r>
      <w:r w:rsidR="007547C7" w:rsidRPr="00227340">
        <w:rPr>
          <w:rFonts w:ascii="Simplified Arabic" w:hAnsi="Simplified Arabic" w:cs="Simplified Arabic" w:hint="cs"/>
          <w:rtl/>
        </w:rPr>
        <w:t xml:space="preserve"> المتوقع</w:t>
      </w:r>
      <w:r w:rsidR="00B351F3" w:rsidRPr="00227340">
        <w:rPr>
          <w:rFonts w:ascii="Simplified Arabic" w:hAnsi="Simplified Arabic" w:cs="Simplified Arabic" w:hint="cs"/>
          <w:rtl/>
        </w:rPr>
        <w:t>ة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B351F3" w:rsidRPr="00227340">
        <w:rPr>
          <w:rFonts w:ascii="Simplified Arabic" w:hAnsi="Simplified Arabic" w:cs="Simplified Arabic" w:hint="cs"/>
          <w:rtl/>
        </w:rPr>
        <w:t>في</w:t>
      </w:r>
      <w:r w:rsidRPr="00227340">
        <w:rPr>
          <w:rFonts w:ascii="Simplified Arabic" w:hAnsi="Simplified Arabic" w:cs="Simplified Arabic" w:hint="cs"/>
          <w:rtl/>
        </w:rPr>
        <w:t xml:space="preserve"> قيمة </w:t>
      </w:r>
      <w:r w:rsidR="009B025B" w:rsidRPr="00227340">
        <w:rPr>
          <w:rFonts w:ascii="Simplified Arabic" w:hAnsi="Simplified Arabic" w:cs="Simplified Arabic" w:hint="cs"/>
          <w:rtl/>
        </w:rPr>
        <w:t>الصادرات</w:t>
      </w:r>
      <w:r w:rsidRPr="00227340">
        <w:rPr>
          <w:rFonts w:ascii="Simplified Arabic" w:hAnsi="Simplified Arabic" w:cs="Simplified Arabic" w:hint="cs"/>
          <w:rtl/>
        </w:rPr>
        <w:t xml:space="preserve"> بنسبة </w:t>
      </w:r>
      <w:r w:rsidR="00466A51" w:rsidRPr="00227340">
        <w:rPr>
          <w:rFonts w:ascii="Simplified Arabic" w:hAnsi="Simplified Arabic" w:cs="Simplified Arabic" w:hint="cs"/>
          <w:rtl/>
        </w:rPr>
        <w:t>5</w:t>
      </w:r>
      <w:r w:rsidRPr="00227340">
        <w:rPr>
          <w:rFonts w:ascii="Simplified Arabic" w:hAnsi="Simplified Arabic" w:cs="Simplified Arabic" w:hint="cs"/>
          <w:rtl/>
        </w:rPr>
        <w:t>%</w:t>
      </w:r>
      <w:r w:rsidR="002A29B5" w:rsidRPr="00227340">
        <w:rPr>
          <w:rFonts w:ascii="Simplified Arabic" w:hAnsi="Simplified Arabic" w:cs="Simplified Arabic" w:hint="cs"/>
          <w:rtl/>
        </w:rPr>
        <w:t>،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C828F1" w:rsidRPr="00227340">
        <w:rPr>
          <w:rFonts w:ascii="Simplified Arabic" w:hAnsi="Simplified Arabic" w:cs="Simplified Arabic" w:hint="cs"/>
          <w:rtl/>
        </w:rPr>
        <w:t xml:space="preserve">بالرغم من </w:t>
      </w:r>
      <w:r w:rsidR="00B43FB5" w:rsidRPr="00227340">
        <w:rPr>
          <w:rFonts w:ascii="Simplified Arabic" w:hAnsi="Simplified Arabic" w:cs="Simplified Arabic" w:hint="cs"/>
          <w:rtl/>
        </w:rPr>
        <w:t>ارتفاع</w:t>
      </w:r>
      <w:r w:rsidR="001D55AE" w:rsidRPr="00227340">
        <w:rPr>
          <w:rFonts w:ascii="Simplified Arabic" w:hAnsi="Simplified Arabic" w:cs="Simplified Arabic" w:hint="cs"/>
          <w:rtl/>
        </w:rPr>
        <w:t xml:space="preserve"> </w:t>
      </w:r>
      <w:r w:rsidR="00B93467" w:rsidRPr="00227340">
        <w:rPr>
          <w:rFonts w:ascii="Simplified Arabic" w:hAnsi="Simplified Arabic" w:cs="Simplified Arabic" w:hint="cs"/>
          <w:rtl/>
        </w:rPr>
        <w:t>قيمة</w:t>
      </w:r>
      <w:r w:rsidRPr="00227340">
        <w:rPr>
          <w:rFonts w:cs="Simplified Arabic" w:hint="cs"/>
          <w:rtl/>
        </w:rPr>
        <w:t xml:space="preserve"> </w:t>
      </w:r>
      <w:r w:rsidR="009B025B" w:rsidRPr="00227340">
        <w:rPr>
          <w:rFonts w:ascii="Simplified Arabic" w:hAnsi="Simplified Arabic" w:cs="Simplified Arabic" w:hint="cs"/>
          <w:rtl/>
        </w:rPr>
        <w:t>الواردات</w:t>
      </w:r>
      <w:r w:rsidRPr="00227340">
        <w:rPr>
          <w:rFonts w:ascii="Simplified Arabic" w:hAnsi="Simplified Arabic" w:cs="Simplified Arabic" w:hint="cs"/>
          <w:rtl/>
        </w:rPr>
        <w:t xml:space="preserve"> بنسبة </w:t>
      </w:r>
      <w:r w:rsidR="00466A51" w:rsidRPr="00227340">
        <w:rPr>
          <w:rFonts w:ascii="Simplified Arabic" w:hAnsi="Simplified Arabic" w:cs="Simplified Arabic" w:hint="cs"/>
          <w:rtl/>
        </w:rPr>
        <w:t>1</w:t>
      </w:r>
      <w:r w:rsidR="007547C7" w:rsidRPr="00227340">
        <w:rPr>
          <w:rFonts w:ascii="Simplified Arabic" w:hAnsi="Simplified Arabic" w:cs="Simplified Arabic" w:hint="cs"/>
          <w:rtl/>
        </w:rPr>
        <w:t>%،</w:t>
      </w:r>
      <w:r w:rsidR="00B93467" w:rsidRPr="00227340">
        <w:rPr>
          <w:rFonts w:ascii="Simplified Arabic" w:hAnsi="Simplified Arabic" w:cs="Simplified Arabic" w:hint="cs"/>
          <w:rtl/>
        </w:rPr>
        <w:t xml:space="preserve"> </w:t>
      </w:r>
      <w:r w:rsidR="00941479" w:rsidRPr="00227340">
        <w:rPr>
          <w:rFonts w:ascii="Simplified Arabic" w:hAnsi="Simplified Arabic" w:cs="Simplified Arabic" w:hint="cs"/>
          <w:rtl/>
        </w:rPr>
        <w:t xml:space="preserve">كما يتوقع </w:t>
      </w:r>
      <w:r w:rsidR="00B93467" w:rsidRPr="00227340">
        <w:rPr>
          <w:rFonts w:ascii="Simplified Arabic" w:hAnsi="Simplified Arabic" w:cs="Simplified Arabic" w:hint="cs"/>
          <w:rtl/>
        </w:rPr>
        <w:t>ارتفاع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E35ADA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صافي الدخل بنسبة </w:t>
      </w:r>
      <w:r w:rsidR="009B025B" w:rsidRPr="00227340">
        <w:rPr>
          <w:rFonts w:ascii="Simplified Arabic" w:hAnsi="Simplified Arabic" w:cs="Simplified Arabic" w:hint="cs"/>
          <w:rtl/>
        </w:rPr>
        <w:t>1</w:t>
      </w:r>
      <w:r w:rsidR="004F6AE8" w:rsidRPr="00227340">
        <w:rPr>
          <w:rFonts w:ascii="Simplified Arabic" w:hAnsi="Simplified Arabic" w:cs="Simplified Arabic" w:hint="cs"/>
          <w:rtl/>
        </w:rPr>
        <w:t>%. وسترتفع</w:t>
      </w:r>
      <w:r w:rsidR="00E35ADA" w:rsidRPr="00227340">
        <w:rPr>
          <w:rFonts w:cs="Simplified Arabic" w:hint="cs"/>
          <w:rtl/>
          <w:lang w:val="fr-CH"/>
        </w:rPr>
        <w:t xml:space="preserve"> قيمة</w:t>
      </w:r>
      <w:r w:rsidRPr="00227340">
        <w:rPr>
          <w:rFonts w:cs="Simplified Arabic" w:hint="cs"/>
          <w:rtl/>
          <w:lang w:val="fr-CH"/>
        </w:rPr>
        <w:t xml:space="preserve"> الدخل القومي </w:t>
      </w:r>
      <w:r w:rsidR="00B27EC4" w:rsidRPr="00227340">
        <w:rPr>
          <w:rFonts w:cs="Simplified Arabic" w:hint="cs"/>
          <w:rtl/>
          <w:lang w:val="fr-CH"/>
        </w:rPr>
        <w:t>الا</w:t>
      </w:r>
      <w:r w:rsidR="00045833" w:rsidRPr="00227340">
        <w:rPr>
          <w:rFonts w:cs="Simplified Arabic" w:hint="cs"/>
          <w:rtl/>
          <w:lang w:val="fr-CH"/>
        </w:rPr>
        <w:t>جمالي</w:t>
      </w:r>
      <w:r w:rsidR="00E126C2" w:rsidRPr="00227340">
        <w:rPr>
          <w:rFonts w:cs="Simplified Arabic" w:hint="cs"/>
          <w:rtl/>
          <w:lang w:val="fr-CH"/>
        </w:rPr>
        <w:t xml:space="preserve"> </w:t>
      </w:r>
      <w:r w:rsidR="009B025B" w:rsidRPr="00227340">
        <w:rPr>
          <w:rFonts w:cs="Simplified Arabic" w:hint="cs"/>
          <w:rtl/>
          <w:lang w:val="fr-CH"/>
        </w:rPr>
        <w:t xml:space="preserve">بنسبة 0.5%، بينما سينخفض </w:t>
      </w:r>
      <w:r w:rsidRPr="00227340">
        <w:rPr>
          <w:rFonts w:cs="Simplified Arabic" w:hint="cs"/>
          <w:rtl/>
          <w:lang w:val="fr-CH"/>
        </w:rPr>
        <w:t xml:space="preserve">الدخل القومي المتاح </w:t>
      </w:r>
      <w:r w:rsidR="00583BB3" w:rsidRPr="00227340">
        <w:rPr>
          <w:rFonts w:cs="Simplified Arabic" w:hint="cs"/>
          <w:rtl/>
          <w:lang w:val="fr-CH"/>
        </w:rPr>
        <w:t xml:space="preserve">الاجمالي </w:t>
      </w:r>
      <w:r w:rsidRPr="00227340">
        <w:rPr>
          <w:rFonts w:cs="Simplified Arabic" w:hint="cs"/>
          <w:rtl/>
          <w:lang w:val="fr-CH"/>
        </w:rPr>
        <w:t xml:space="preserve">بنسبة </w:t>
      </w:r>
      <w:r w:rsidR="009B025B" w:rsidRPr="00227340">
        <w:rPr>
          <w:rFonts w:cs="Simplified Arabic" w:hint="cs"/>
          <w:rtl/>
          <w:lang w:val="fr-CH"/>
        </w:rPr>
        <w:t>0</w:t>
      </w:r>
      <w:r w:rsidRPr="00227340">
        <w:rPr>
          <w:rFonts w:cs="Simplified Arabic" w:hint="cs"/>
          <w:rtl/>
          <w:lang w:val="fr-CH"/>
        </w:rPr>
        <w:t>.</w:t>
      </w:r>
      <w:r w:rsidR="002953F7" w:rsidRPr="00227340">
        <w:rPr>
          <w:rFonts w:cs="Simplified Arabic" w:hint="cs"/>
          <w:rtl/>
          <w:lang w:val="fr-CH"/>
        </w:rPr>
        <w:t>2</w:t>
      </w:r>
      <w:r w:rsidR="007547C7" w:rsidRPr="00227340">
        <w:rPr>
          <w:rFonts w:cs="Simplified Arabic" w:hint="cs"/>
          <w:rtl/>
          <w:lang w:val="fr-CH"/>
        </w:rPr>
        <w:t>%</w:t>
      </w:r>
      <w:r w:rsidR="009B025B" w:rsidRPr="00227340">
        <w:rPr>
          <w:rFonts w:cs="Simplified Arabic" w:hint="cs"/>
          <w:rtl/>
          <w:lang w:val="fr-CH"/>
        </w:rPr>
        <w:t>.</w:t>
      </w:r>
    </w:p>
    <w:p w:rsidR="00B07BD1" w:rsidRPr="00227340" w:rsidRDefault="00B07BD1" w:rsidP="00B07BD1">
      <w:pPr>
        <w:ind w:left="71"/>
        <w:jc w:val="both"/>
        <w:rPr>
          <w:rFonts w:cs="Simplified Arabic"/>
          <w:rtl/>
          <w:lang w:val="fr-CH"/>
        </w:rPr>
      </w:pPr>
    </w:p>
    <w:p w:rsidR="00B07BD1" w:rsidRPr="00227340" w:rsidRDefault="00B07BD1" w:rsidP="00B07BD1">
      <w:pPr>
        <w:ind w:right="720"/>
        <w:jc w:val="both"/>
        <w:rPr>
          <w:rFonts w:ascii="Simplified Arabic" w:hAnsi="Simplified Arabic" w:cs="Simplified Arabic"/>
          <w:b/>
          <w:bCs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  <w:lang w:bidi="ar-JO"/>
        </w:rPr>
        <w:t>2.ال</w:t>
      </w:r>
      <w:r w:rsidRPr="00227340">
        <w:rPr>
          <w:rFonts w:ascii="Simplified Arabic" w:hAnsi="Simplified Arabic" w:cs="Simplified Arabic" w:hint="cs"/>
          <w:b/>
          <w:bCs/>
          <w:rtl/>
        </w:rPr>
        <w:t>سيناريو المتفائل:</w:t>
      </w:r>
    </w:p>
    <w:p w:rsidR="00B07BD1" w:rsidRPr="00227340" w:rsidRDefault="00B07BD1" w:rsidP="00161FB7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 xml:space="preserve">يستند </w:t>
      </w:r>
      <w:r w:rsidRPr="00227340">
        <w:rPr>
          <w:rFonts w:cs="Simplified Arabic" w:hint="cs"/>
          <w:rtl/>
        </w:rPr>
        <w:t xml:space="preserve">هذا </w:t>
      </w:r>
      <w:r w:rsidRPr="00227340">
        <w:rPr>
          <w:rFonts w:ascii="Simplified Arabic" w:hAnsi="Simplified Arabic" w:cs="Simplified Arabic" w:hint="cs"/>
          <w:rtl/>
        </w:rPr>
        <w:t xml:space="preserve">السيناريو </w:t>
      </w:r>
      <w:r w:rsidR="00E1761C" w:rsidRPr="00227340">
        <w:rPr>
          <w:rFonts w:ascii="Simplified Arabic" w:hAnsi="Simplified Arabic" w:cs="Simplified Arabic" w:hint="cs"/>
          <w:rtl/>
        </w:rPr>
        <w:t>إ</w:t>
      </w:r>
      <w:r w:rsidR="007F4809" w:rsidRPr="00227340">
        <w:rPr>
          <w:rFonts w:ascii="Simplified Arabic" w:hAnsi="Simplified Arabic" w:cs="Simplified Arabic" w:hint="cs"/>
          <w:rtl/>
        </w:rPr>
        <w:t xml:space="preserve">لى افتراض </w:t>
      </w:r>
      <w:r w:rsidRPr="00227340">
        <w:rPr>
          <w:rFonts w:ascii="Simplified Arabic" w:hAnsi="Simplified Arabic" w:cs="Simplified Arabic" w:hint="cs"/>
          <w:rtl/>
        </w:rPr>
        <w:t>أن الوضع السياسي والاقتصادي</w:t>
      </w:r>
      <w:r w:rsidR="007F4809" w:rsidRPr="00227340">
        <w:rPr>
          <w:rFonts w:ascii="Simplified Arabic" w:hAnsi="Simplified Arabic" w:cs="Simplified Arabic" w:hint="cs"/>
          <w:rtl/>
        </w:rPr>
        <w:t xml:space="preserve"> سيكون</w:t>
      </w:r>
      <w:r w:rsidRPr="00227340">
        <w:rPr>
          <w:rFonts w:ascii="Simplified Arabic" w:hAnsi="Simplified Arabic" w:cs="Simplified Arabic" w:hint="cs"/>
          <w:rtl/>
        </w:rPr>
        <w:t xml:space="preserve"> أفضل من خلال </w:t>
      </w:r>
      <w:r w:rsidRPr="00227340">
        <w:rPr>
          <w:rFonts w:cs="Simplified Arabic" w:hint="cs"/>
          <w:rtl/>
        </w:rPr>
        <w:t xml:space="preserve">التقدم </w:t>
      </w:r>
      <w:r w:rsidR="000D0843" w:rsidRPr="00227340">
        <w:rPr>
          <w:rFonts w:cs="Simplified Arabic" w:hint="cs"/>
          <w:rtl/>
        </w:rPr>
        <w:t xml:space="preserve">في </w:t>
      </w:r>
      <w:r w:rsidRPr="00227340">
        <w:rPr>
          <w:rFonts w:cs="Simplified Arabic" w:hint="cs"/>
          <w:rtl/>
        </w:rPr>
        <w:t xml:space="preserve">تحقيق المصالحة بين الضفة الغربية وقطاع غزة </w:t>
      </w:r>
      <w:r w:rsidR="00161FB7" w:rsidRPr="00227340">
        <w:rPr>
          <w:rFonts w:cs="Simplified Arabic" w:hint="cs"/>
          <w:rtl/>
        </w:rPr>
        <w:t>و</w:t>
      </w:r>
      <w:r w:rsidR="00E1761C" w:rsidRPr="00227340">
        <w:rPr>
          <w:rFonts w:cs="Simplified Arabic" w:hint="cs"/>
          <w:rtl/>
        </w:rPr>
        <w:t>إ</w:t>
      </w:r>
      <w:r w:rsidRPr="00227340">
        <w:rPr>
          <w:rFonts w:cs="Simplified Arabic" w:hint="cs"/>
          <w:rtl/>
        </w:rPr>
        <w:t xml:space="preserve">عادة اعمار قطاع غزة، </w:t>
      </w:r>
      <w:r w:rsidRPr="00227340">
        <w:rPr>
          <w:rFonts w:ascii="Simplified Arabic" w:hAnsi="Simplified Arabic" w:cs="Simplified Arabic" w:hint="cs"/>
          <w:rtl/>
        </w:rPr>
        <w:t xml:space="preserve">حيث </w:t>
      </w:r>
      <w:r w:rsidR="007F4809" w:rsidRPr="00227340">
        <w:rPr>
          <w:rFonts w:ascii="Simplified Arabic" w:hAnsi="Simplified Arabic" w:cs="Simplified Arabic" w:hint="cs"/>
          <w:rtl/>
        </w:rPr>
        <w:t>سترتفع قيمة</w:t>
      </w:r>
      <w:r w:rsidRPr="00227340">
        <w:rPr>
          <w:rFonts w:ascii="Simplified Arabic" w:hAnsi="Simplified Arabic" w:cs="Simplified Arabic" w:hint="cs"/>
          <w:rtl/>
        </w:rPr>
        <w:t xml:space="preserve"> المساعدات المقدمة من الدول المانحة </w:t>
      </w:r>
      <w:r w:rsidRPr="00227340">
        <w:rPr>
          <w:rFonts w:cs="Simplified Arabic" w:hint="cs"/>
          <w:rtl/>
        </w:rPr>
        <w:t>لتمويل موازنة دولة فلسطين</w:t>
      </w:r>
      <w:r w:rsidR="00A05CDF" w:rsidRPr="00227340">
        <w:rPr>
          <w:rFonts w:cs="Simplified Arabic" w:hint="cs"/>
          <w:rtl/>
        </w:rPr>
        <w:t xml:space="preserve"> (الحكومة المركزية)</w:t>
      </w:r>
      <w:r w:rsidR="00F13F17" w:rsidRPr="00227340">
        <w:rPr>
          <w:rFonts w:cs="Simplified Arabic" w:hint="cs"/>
          <w:rtl/>
        </w:rPr>
        <w:t>،</w:t>
      </w:r>
      <w:r w:rsidRPr="00227340">
        <w:rPr>
          <w:rFonts w:cs="Simplified Arabic" w:hint="cs"/>
          <w:rtl/>
        </w:rPr>
        <w:t xml:space="preserve"> </w:t>
      </w:r>
      <w:r w:rsidR="00161FB7" w:rsidRPr="00227340">
        <w:rPr>
          <w:rFonts w:ascii="Simplified Arabic" w:hAnsi="Simplified Arabic" w:cs="Simplified Arabic" w:hint="cs"/>
          <w:rtl/>
        </w:rPr>
        <w:t>وارتفاع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Pr="00227340">
        <w:rPr>
          <w:rFonts w:cs="Simplified Arabic" w:hint="cs"/>
          <w:rtl/>
        </w:rPr>
        <w:t>إيرادات المقاصة،</w:t>
      </w:r>
      <w:r w:rsidRPr="00227340">
        <w:rPr>
          <w:rFonts w:ascii="Simplified Arabic" w:hAnsi="Simplified Arabic" w:cs="Simplified Arabic" w:hint="cs"/>
          <w:rtl/>
        </w:rPr>
        <w:t xml:space="preserve"> وتحسين </w:t>
      </w:r>
      <w:r w:rsidR="00437B01" w:rsidRPr="00227340">
        <w:rPr>
          <w:rFonts w:ascii="Simplified Arabic" w:hAnsi="Simplified Arabic" w:cs="Simplified Arabic" w:hint="cs"/>
          <w:rtl/>
        </w:rPr>
        <w:t xml:space="preserve">في كفاءة </w:t>
      </w:r>
      <w:r w:rsidRPr="00227340">
        <w:rPr>
          <w:rFonts w:ascii="Simplified Arabic" w:hAnsi="Simplified Arabic" w:cs="Simplified Arabic" w:hint="cs"/>
          <w:rtl/>
        </w:rPr>
        <w:t>جباية الضرائب</w:t>
      </w:r>
      <w:r w:rsidR="00B80495" w:rsidRPr="00227340">
        <w:rPr>
          <w:rFonts w:ascii="Simplified Arabic" w:hAnsi="Simplified Arabic" w:cs="Simplified Arabic" w:hint="cs"/>
          <w:rtl/>
        </w:rPr>
        <w:t xml:space="preserve">، </w:t>
      </w:r>
      <w:r w:rsidR="00446E93" w:rsidRPr="00227340">
        <w:rPr>
          <w:rFonts w:ascii="Simplified Arabic" w:hAnsi="Simplified Arabic" w:cs="Simplified Arabic" w:hint="cs"/>
          <w:rtl/>
        </w:rPr>
        <w:t>و</w:t>
      </w:r>
      <w:r w:rsidR="00B80495" w:rsidRPr="00227340">
        <w:rPr>
          <w:rFonts w:ascii="Simplified Arabic" w:hAnsi="Simplified Arabic" w:cs="Simplified Arabic" w:hint="cs"/>
          <w:rtl/>
        </w:rPr>
        <w:t>زيادة</w:t>
      </w:r>
      <w:r w:rsidR="00437B01" w:rsidRPr="00227340">
        <w:rPr>
          <w:rFonts w:ascii="Simplified Arabic" w:hAnsi="Simplified Arabic" w:cs="Simplified Arabic" w:hint="cs"/>
          <w:rtl/>
        </w:rPr>
        <w:t xml:space="preserve"> </w:t>
      </w:r>
      <w:r w:rsidR="003A2BAA" w:rsidRPr="00227340">
        <w:rPr>
          <w:rFonts w:ascii="Simplified Arabic" w:hAnsi="Simplified Arabic" w:cs="Simplified Arabic" w:hint="cs"/>
          <w:rtl/>
        </w:rPr>
        <w:t>التحصيل ل</w:t>
      </w:r>
      <w:r w:rsidR="00023956" w:rsidRPr="00227340">
        <w:rPr>
          <w:rFonts w:ascii="Simplified Arabic" w:hAnsi="Simplified Arabic" w:cs="Simplified Arabic" w:hint="cs"/>
          <w:rtl/>
        </w:rPr>
        <w:t>ضريبة الدخل،</w:t>
      </w:r>
      <w:r w:rsidR="002D35DB" w:rsidRPr="00227340">
        <w:rPr>
          <w:rFonts w:ascii="Simplified Arabic" w:hAnsi="Simplified Arabic" w:cs="Simplified Arabic" w:hint="cs"/>
          <w:rtl/>
        </w:rPr>
        <w:t xml:space="preserve"> وزيادة التحصيل</w:t>
      </w:r>
      <w:r w:rsidR="00023956" w:rsidRPr="00227340">
        <w:rPr>
          <w:rFonts w:ascii="Simplified Arabic" w:hAnsi="Simplified Arabic" w:cs="Simplified Arabic" w:hint="cs"/>
          <w:rtl/>
        </w:rPr>
        <w:t xml:space="preserve"> </w:t>
      </w:r>
      <w:r w:rsidR="002D35DB" w:rsidRPr="00227340">
        <w:rPr>
          <w:rFonts w:ascii="Simplified Arabic" w:hAnsi="Simplified Arabic" w:cs="Simplified Arabic" w:hint="cs"/>
          <w:rtl/>
        </w:rPr>
        <w:t>ل</w:t>
      </w:r>
      <w:r w:rsidR="00437B01" w:rsidRPr="00227340">
        <w:rPr>
          <w:rFonts w:ascii="Simplified Arabic" w:hAnsi="Simplified Arabic" w:cs="Simplified Arabic" w:hint="cs"/>
          <w:rtl/>
        </w:rPr>
        <w:t xml:space="preserve">ضريبة القيمة المضافة </w:t>
      </w:r>
      <w:r w:rsidR="0032467F" w:rsidRPr="00227340">
        <w:rPr>
          <w:rFonts w:ascii="Simplified Arabic" w:hAnsi="Simplified Arabic" w:cs="Simplified Arabic" w:hint="cs"/>
          <w:rtl/>
        </w:rPr>
        <w:t>ال</w:t>
      </w:r>
      <w:r w:rsidR="00437B01" w:rsidRPr="00227340">
        <w:rPr>
          <w:rFonts w:ascii="Simplified Arabic" w:hAnsi="Simplified Arabic" w:cs="Simplified Arabic" w:hint="cs"/>
          <w:rtl/>
        </w:rPr>
        <w:t>محلي</w:t>
      </w:r>
      <w:r w:rsidR="0032467F" w:rsidRPr="00227340">
        <w:rPr>
          <w:rFonts w:ascii="Simplified Arabic" w:hAnsi="Simplified Arabic" w:cs="Simplified Arabic" w:hint="cs"/>
          <w:rtl/>
        </w:rPr>
        <w:t>ة</w:t>
      </w:r>
      <w:r w:rsidR="005B5BDC" w:rsidRPr="00227340">
        <w:rPr>
          <w:rFonts w:ascii="Simplified Arabic" w:hAnsi="Simplified Arabic" w:cs="Simplified Arabic" w:hint="cs"/>
          <w:rtl/>
        </w:rPr>
        <w:t xml:space="preserve"> والمقاصة</w:t>
      </w:r>
      <w:r w:rsidR="00023956" w:rsidRPr="00227340">
        <w:rPr>
          <w:rFonts w:ascii="Simplified Arabic" w:hAnsi="Simplified Arabic" w:cs="Simplified Arabic" w:hint="cs"/>
          <w:rtl/>
        </w:rPr>
        <w:t xml:space="preserve">، </w:t>
      </w:r>
      <w:r w:rsidR="00446E93" w:rsidRPr="00227340">
        <w:rPr>
          <w:rFonts w:ascii="Simplified Arabic" w:hAnsi="Simplified Arabic" w:cs="Simplified Arabic" w:hint="cs"/>
          <w:rtl/>
        </w:rPr>
        <w:t>و</w:t>
      </w:r>
      <w:r w:rsidR="00FF6577" w:rsidRPr="00227340">
        <w:rPr>
          <w:rFonts w:ascii="Simplified Arabic" w:hAnsi="Simplified Arabic" w:cs="Simplified Arabic" w:hint="cs"/>
          <w:rtl/>
        </w:rPr>
        <w:t>زيادة النفقات التطويرية</w:t>
      </w:r>
      <w:r w:rsidR="00A05CDF" w:rsidRPr="00227340">
        <w:rPr>
          <w:rFonts w:ascii="Simplified Arabic" w:hAnsi="Simplified Arabic" w:cs="Simplified Arabic" w:hint="cs"/>
          <w:rtl/>
        </w:rPr>
        <w:t xml:space="preserve">، </w:t>
      </w:r>
      <w:r w:rsidRPr="00227340">
        <w:rPr>
          <w:rFonts w:cs="Simplified Arabic"/>
          <w:rtl/>
        </w:rPr>
        <w:t xml:space="preserve">مع افتراض </w:t>
      </w:r>
      <w:r w:rsidRPr="00227340">
        <w:rPr>
          <w:rFonts w:cs="Simplified Arabic" w:hint="cs"/>
          <w:rtl/>
        </w:rPr>
        <w:t>انخفاض</w:t>
      </w:r>
      <w:r w:rsidRPr="00227340">
        <w:rPr>
          <w:rFonts w:cs="Simplified Arabic"/>
          <w:rtl/>
        </w:rPr>
        <w:t xml:space="preserve"> العراقيل التي تضعها إسرائيل </w:t>
      </w:r>
      <w:r w:rsidRPr="00227340">
        <w:rPr>
          <w:rFonts w:cs="Simplified Arabic" w:hint="cs"/>
          <w:rtl/>
        </w:rPr>
        <w:t>على</w:t>
      </w:r>
      <w:r w:rsidRPr="00227340">
        <w:rPr>
          <w:rFonts w:cs="Simplified Arabic"/>
          <w:rtl/>
        </w:rPr>
        <w:t xml:space="preserve"> </w:t>
      </w:r>
      <w:r w:rsidRPr="00227340">
        <w:rPr>
          <w:rFonts w:cs="Simplified Arabic" w:hint="cs"/>
          <w:rtl/>
        </w:rPr>
        <w:t xml:space="preserve">حركة </w:t>
      </w:r>
      <w:r w:rsidRPr="00227340">
        <w:rPr>
          <w:rFonts w:cs="Simplified Arabic" w:hint="eastAsia"/>
          <w:rtl/>
        </w:rPr>
        <w:t>الأشخاص</w:t>
      </w:r>
      <w:r w:rsidRPr="00227340">
        <w:rPr>
          <w:rFonts w:cs="Simplified Arabic"/>
          <w:rtl/>
        </w:rPr>
        <w:t xml:space="preserve"> والبضائع داخل </w:t>
      </w:r>
      <w:r w:rsidRPr="00227340">
        <w:rPr>
          <w:rFonts w:cs="Simplified Arabic" w:hint="cs"/>
          <w:rtl/>
        </w:rPr>
        <w:t>فلسطين</w:t>
      </w:r>
      <w:r w:rsidRPr="00227340">
        <w:rPr>
          <w:rFonts w:cs="Simplified Arabic"/>
          <w:rtl/>
        </w:rPr>
        <w:t xml:space="preserve"> أو بين </w:t>
      </w:r>
      <w:r w:rsidRPr="00227340">
        <w:rPr>
          <w:rFonts w:cs="Simplified Arabic" w:hint="cs"/>
          <w:rtl/>
        </w:rPr>
        <w:t>فلسطين</w:t>
      </w:r>
      <w:r w:rsidRPr="00227340">
        <w:rPr>
          <w:rFonts w:cs="Simplified Arabic"/>
          <w:rtl/>
        </w:rPr>
        <w:t xml:space="preserve"> والدول </w:t>
      </w:r>
      <w:r w:rsidRPr="00227340">
        <w:rPr>
          <w:rFonts w:cs="Simplified Arabic" w:hint="eastAsia"/>
          <w:rtl/>
        </w:rPr>
        <w:t>المجاورة</w:t>
      </w:r>
      <w:r w:rsidRPr="00227340">
        <w:rPr>
          <w:rFonts w:ascii="Simplified Arabic" w:hAnsi="Simplified Arabic" w:cs="Simplified Arabic" w:hint="cs"/>
          <w:rtl/>
        </w:rPr>
        <w:t>، وبافتراض النمو الطبيعي للسكان في فلسطين.</w:t>
      </w:r>
    </w:p>
    <w:p w:rsidR="00B07BD1" w:rsidRDefault="00B07BD1" w:rsidP="00B07BD1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</w:p>
    <w:p w:rsidR="00B07BD1" w:rsidRPr="00227340" w:rsidRDefault="003C5A40" w:rsidP="00B07BD1">
      <w:pPr>
        <w:pStyle w:val="ListParagraph"/>
        <w:ind w:left="0"/>
        <w:jc w:val="both"/>
        <w:rPr>
          <w:rFonts w:ascii="Simplified Arabic" w:hAnsi="Simplified Arabic" w:cs="Simplified Arabic"/>
          <w:b/>
          <w:bCs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 xml:space="preserve">توقعات </w:t>
      </w:r>
      <w:r w:rsidR="00B07BD1" w:rsidRPr="00227340">
        <w:rPr>
          <w:rFonts w:ascii="Simplified Arabic" w:hAnsi="Simplified Arabic" w:cs="Simplified Arabic" w:hint="cs"/>
          <w:b/>
          <w:bCs/>
          <w:rtl/>
        </w:rPr>
        <w:t>السيناريو المتفائل:</w:t>
      </w:r>
    </w:p>
    <w:p w:rsidR="00085C55" w:rsidRPr="00227340" w:rsidRDefault="00B07BD1" w:rsidP="00B07BD1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>القطاع الحقيقي</w:t>
      </w:r>
      <w:r w:rsidRPr="00227340">
        <w:rPr>
          <w:rFonts w:ascii="Simplified Arabic" w:hAnsi="Simplified Arabic" w:cs="Simplified Arabic" w:hint="cs"/>
          <w:rtl/>
        </w:rPr>
        <w:t>:</w:t>
      </w:r>
    </w:p>
    <w:p w:rsidR="00B07BD1" w:rsidRPr="00227340" w:rsidRDefault="00085C55" w:rsidP="00466A51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>الناتج المحلي الاجمالي:</w:t>
      </w:r>
      <w:r w:rsidR="00B07BD1" w:rsidRPr="00227340">
        <w:rPr>
          <w:rFonts w:ascii="Simplified Arabic" w:hAnsi="Simplified Arabic" w:cs="Simplified Arabic" w:hint="cs"/>
          <w:rtl/>
        </w:rPr>
        <w:t xml:space="preserve"> من المتوقع ارتفاع </w:t>
      </w:r>
      <w:r w:rsidR="00E35ADA" w:rsidRPr="00227340">
        <w:rPr>
          <w:rFonts w:ascii="Simplified Arabic" w:hAnsi="Simplified Arabic" w:cs="Simplified Arabic" w:hint="cs"/>
          <w:rtl/>
        </w:rPr>
        <w:t xml:space="preserve">قيمة </w:t>
      </w:r>
      <w:r w:rsidR="00B07BD1" w:rsidRPr="00227340">
        <w:rPr>
          <w:rFonts w:ascii="Simplified Arabic" w:hAnsi="Simplified Arabic" w:cs="Simplified Arabic" w:hint="cs"/>
          <w:rtl/>
        </w:rPr>
        <w:t xml:space="preserve">الناتج المحلي الإجمالي بنسبة </w:t>
      </w:r>
      <w:r w:rsidR="00466A51" w:rsidRPr="00227340">
        <w:rPr>
          <w:rFonts w:ascii="Simplified Arabic" w:hAnsi="Simplified Arabic" w:cs="Simplified Arabic" w:hint="cs"/>
          <w:rtl/>
        </w:rPr>
        <w:t>5</w:t>
      </w:r>
      <w:r w:rsidR="00B07BD1" w:rsidRPr="00227340">
        <w:rPr>
          <w:rFonts w:ascii="Simplified Arabic" w:hAnsi="Simplified Arabic" w:cs="Simplified Arabic" w:hint="cs"/>
          <w:rtl/>
        </w:rPr>
        <w:t xml:space="preserve">% خلال عام </w:t>
      </w:r>
      <w:r w:rsidR="00BF5F04" w:rsidRPr="00227340">
        <w:rPr>
          <w:rFonts w:ascii="Simplified Arabic" w:hAnsi="Simplified Arabic" w:cs="Simplified Arabic" w:hint="cs"/>
          <w:rtl/>
        </w:rPr>
        <w:t>2019</w:t>
      </w:r>
      <w:r w:rsidR="00B07BD1" w:rsidRPr="00227340">
        <w:rPr>
          <w:rFonts w:ascii="Simplified Arabic" w:hAnsi="Simplified Arabic" w:cs="Simplified Arabic" w:hint="cs"/>
          <w:rtl/>
        </w:rPr>
        <w:t xml:space="preserve">، وزيادة </w:t>
      </w:r>
      <w:r w:rsidR="00E35ADA" w:rsidRPr="00227340">
        <w:rPr>
          <w:rFonts w:ascii="Simplified Arabic" w:hAnsi="Simplified Arabic" w:cs="Simplified Arabic" w:hint="cs"/>
          <w:rtl/>
        </w:rPr>
        <w:t xml:space="preserve">قيمة </w:t>
      </w:r>
      <w:r w:rsidR="00B07BD1" w:rsidRPr="00227340">
        <w:rPr>
          <w:rFonts w:ascii="Simplified Arabic" w:hAnsi="Simplified Arabic" w:cs="Simplified Arabic" w:hint="cs"/>
          <w:rtl/>
        </w:rPr>
        <w:t>نصيب الفرد من</w:t>
      </w:r>
      <w:r w:rsidR="001F3528" w:rsidRPr="00227340">
        <w:rPr>
          <w:rFonts w:ascii="Simplified Arabic" w:hAnsi="Simplified Arabic" w:cs="Simplified Arabic" w:hint="cs"/>
          <w:rtl/>
        </w:rPr>
        <w:t>ه</w:t>
      </w:r>
      <w:r w:rsidR="00B07BD1" w:rsidRPr="00227340">
        <w:rPr>
          <w:rFonts w:ascii="Simplified Arabic" w:hAnsi="Simplified Arabic" w:cs="Simplified Arabic" w:hint="cs"/>
          <w:rtl/>
        </w:rPr>
        <w:t xml:space="preserve"> بنسبة </w:t>
      </w:r>
      <w:r w:rsidR="00466A51" w:rsidRPr="00227340">
        <w:rPr>
          <w:rFonts w:ascii="Simplified Arabic" w:hAnsi="Simplified Arabic" w:cs="Simplified Arabic" w:hint="cs"/>
          <w:rtl/>
        </w:rPr>
        <w:t>2</w:t>
      </w:r>
      <w:r w:rsidR="00B07BD1" w:rsidRPr="00227340">
        <w:rPr>
          <w:rFonts w:ascii="Simplified Arabic" w:hAnsi="Simplified Arabic" w:cs="Simplified Arabic" w:hint="cs"/>
          <w:rtl/>
        </w:rPr>
        <w:t>%</w:t>
      </w:r>
      <w:r w:rsidR="00E35ADA" w:rsidRPr="00227340">
        <w:rPr>
          <w:rFonts w:ascii="Simplified Arabic" w:hAnsi="Simplified Arabic" w:cs="Simplified Arabic" w:hint="cs"/>
          <w:rtl/>
        </w:rPr>
        <w:t xml:space="preserve">، </w:t>
      </w:r>
      <w:r w:rsidR="001162FC" w:rsidRPr="00227340">
        <w:rPr>
          <w:rFonts w:ascii="Simplified Arabic" w:hAnsi="Simplified Arabic" w:cs="Simplified Arabic" w:hint="cs"/>
          <w:rtl/>
        </w:rPr>
        <w:t>وارتفاع</w:t>
      </w:r>
      <w:r w:rsidR="00E35ADA" w:rsidRPr="00227340">
        <w:rPr>
          <w:rFonts w:ascii="Simplified Arabic" w:hAnsi="Simplified Arabic" w:cs="Simplified Arabic" w:hint="cs"/>
          <w:rtl/>
        </w:rPr>
        <w:t xml:space="preserve"> قيمة </w:t>
      </w:r>
      <w:r w:rsidR="001F3528" w:rsidRPr="00227340">
        <w:rPr>
          <w:rFonts w:ascii="Simplified Arabic" w:hAnsi="Simplified Arabic" w:cs="Simplified Arabic" w:hint="cs"/>
          <w:rtl/>
        </w:rPr>
        <w:t>إجمالي الاستهلاك (</w:t>
      </w:r>
      <w:r w:rsidR="00B07BD1" w:rsidRPr="00227340">
        <w:rPr>
          <w:rFonts w:ascii="Simplified Arabic" w:hAnsi="Simplified Arabic" w:cs="Simplified Arabic" w:hint="cs"/>
          <w:rtl/>
        </w:rPr>
        <w:t xml:space="preserve">الخاص والعام) بنسبة </w:t>
      </w:r>
      <w:r w:rsidR="00466A51" w:rsidRPr="00227340">
        <w:rPr>
          <w:rFonts w:ascii="Simplified Arabic" w:hAnsi="Simplified Arabic" w:cs="Simplified Arabic" w:hint="cs"/>
          <w:rtl/>
        </w:rPr>
        <w:t>1</w:t>
      </w:r>
      <w:r w:rsidR="001162FC" w:rsidRPr="00227340">
        <w:rPr>
          <w:rFonts w:ascii="Simplified Arabic" w:hAnsi="Simplified Arabic" w:cs="Simplified Arabic" w:hint="cs"/>
          <w:rtl/>
        </w:rPr>
        <w:t>%، و</w:t>
      </w:r>
      <w:r w:rsidR="00B07BD1" w:rsidRPr="00227340">
        <w:rPr>
          <w:rFonts w:ascii="Simplified Arabic" w:hAnsi="Simplified Arabic" w:cs="Simplified Arabic" w:hint="cs"/>
          <w:rtl/>
        </w:rPr>
        <w:t xml:space="preserve">ارتفاع </w:t>
      </w:r>
      <w:r w:rsidR="00447A02" w:rsidRPr="00227340">
        <w:rPr>
          <w:rFonts w:ascii="Simplified Arabic" w:hAnsi="Simplified Arabic" w:cs="Simplified Arabic" w:hint="cs"/>
          <w:rtl/>
        </w:rPr>
        <w:t xml:space="preserve">قيمة </w:t>
      </w:r>
      <w:r w:rsidR="00056D45" w:rsidRPr="00227340">
        <w:rPr>
          <w:rFonts w:ascii="Simplified Arabic" w:hAnsi="Simplified Arabic" w:cs="Simplified Arabic" w:hint="cs"/>
          <w:rtl/>
        </w:rPr>
        <w:t>إجمالي الاستثمار</w:t>
      </w:r>
      <w:r w:rsidR="00B07BD1" w:rsidRPr="00227340">
        <w:rPr>
          <w:rFonts w:ascii="Simplified Arabic" w:hAnsi="Simplified Arabic" w:cs="Simplified Arabic" w:hint="cs"/>
          <w:rtl/>
        </w:rPr>
        <w:t xml:space="preserve"> بنسبة </w:t>
      </w:r>
      <w:r w:rsidR="00466A51" w:rsidRPr="00227340">
        <w:rPr>
          <w:rFonts w:ascii="Simplified Arabic" w:hAnsi="Simplified Arabic" w:cs="Simplified Arabic" w:hint="cs"/>
          <w:rtl/>
        </w:rPr>
        <w:t>15</w:t>
      </w:r>
      <w:r w:rsidR="00B07BD1" w:rsidRPr="00227340">
        <w:rPr>
          <w:rFonts w:ascii="Simplified Arabic" w:hAnsi="Simplified Arabic" w:cs="Simplified Arabic" w:hint="cs"/>
          <w:rtl/>
        </w:rPr>
        <w:t xml:space="preserve">%. </w:t>
      </w:r>
    </w:p>
    <w:p w:rsidR="00B07BD1" w:rsidRPr="00227340" w:rsidRDefault="00B07BD1" w:rsidP="00B07BD1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</w:p>
    <w:p w:rsidR="009C78F8" w:rsidRPr="00227340" w:rsidRDefault="009C78F8" w:rsidP="00466A51">
      <w:pPr>
        <w:pStyle w:val="ListParagraph"/>
        <w:ind w:left="71"/>
        <w:jc w:val="both"/>
        <w:rPr>
          <w:rFonts w:cs="Simplified Arabic"/>
          <w:rtl/>
          <w:lang w:val="fr-CH"/>
        </w:rPr>
      </w:pPr>
      <w:r w:rsidRPr="00227340">
        <w:rPr>
          <w:rFonts w:ascii="Simplified Arabic" w:hAnsi="Simplified Arabic" w:cs="Simplified Arabic" w:hint="cs"/>
          <w:rtl/>
        </w:rPr>
        <w:t xml:space="preserve">العمل والعمال: </w:t>
      </w:r>
      <w:r w:rsidRPr="00227340">
        <w:rPr>
          <w:rFonts w:cs="Simplified Arabic" w:hint="cs"/>
          <w:rtl/>
          <w:lang w:val="fr-CH"/>
        </w:rPr>
        <w:t xml:space="preserve">من المتوقع أن يرتفع عدد العاملين بنسبة </w:t>
      </w:r>
      <w:r w:rsidR="00466A51" w:rsidRPr="00227340">
        <w:rPr>
          <w:rFonts w:cs="Simplified Arabic" w:hint="cs"/>
          <w:rtl/>
          <w:lang w:val="fr-CH"/>
        </w:rPr>
        <w:t>8</w:t>
      </w:r>
      <w:r w:rsidRPr="00227340">
        <w:rPr>
          <w:rFonts w:cs="Simplified Arabic" w:hint="cs"/>
          <w:rtl/>
          <w:lang w:val="fr-CH"/>
        </w:rPr>
        <w:t xml:space="preserve">%، وأن ينخفض معدل البطالة ليصل إلى </w:t>
      </w:r>
      <w:r w:rsidR="00466A51" w:rsidRPr="00227340">
        <w:rPr>
          <w:rFonts w:cs="Simplified Arabic" w:hint="cs"/>
          <w:rtl/>
          <w:lang w:val="fr-CH"/>
        </w:rPr>
        <w:t>29</w:t>
      </w:r>
      <w:r w:rsidRPr="00227340">
        <w:rPr>
          <w:rFonts w:cs="Simplified Arabic" w:hint="cs"/>
          <w:rtl/>
          <w:lang w:val="fr-CH"/>
        </w:rPr>
        <w:t xml:space="preserve">% عام </w:t>
      </w:r>
      <w:r w:rsidR="00BF5F04" w:rsidRPr="00227340">
        <w:rPr>
          <w:rFonts w:cs="Simplified Arabic" w:hint="cs"/>
          <w:rtl/>
          <w:lang w:val="fr-CH"/>
        </w:rPr>
        <w:t>2019</w:t>
      </w:r>
      <w:r w:rsidRPr="00227340">
        <w:rPr>
          <w:rFonts w:cs="Simplified Arabic" w:hint="cs"/>
          <w:rtl/>
          <w:lang w:val="fr-CH"/>
        </w:rPr>
        <w:t>.</w:t>
      </w:r>
    </w:p>
    <w:p w:rsidR="009C78F8" w:rsidRPr="00227340" w:rsidRDefault="009C78F8" w:rsidP="00F85A2C">
      <w:pPr>
        <w:pStyle w:val="ListParagraph"/>
        <w:ind w:left="71" w:firstLine="720"/>
        <w:jc w:val="both"/>
        <w:rPr>
          <w:rFonts w:ascii="Simplified Arabic" w:hAnsi="Simplified Arabic" w:cs="Simplified Arabic"/>
          <w:rtl/>
        </w:rPr>
      </w:pPr>
    </w:p>
    <w:p w:rsidR="009C78F8" w:rsidRPr="00227340" w:rsidRDefault="009C78F8" w:rsidP="009C78F8">
      <w:pPr>
        <w:ind w:left="71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>قطاع المالية العامة</w:t>
      </w:r>
      <w:r w:rsidRPr="00227340">
        <w:rPr>
          <w:rFonts w:ascii="Simplified Arabic" w:hAnsi="Simplified Arabic" w:cs="Simplified Arabic" w:hint="cs"/>
          <w:rtl/>
        </w:rPr>
        <w:t xml:space="preserve">: </w:t>
      </w:r>
    </w:p>
    <w:p w:rsidR="00EF0032" w:rsidRPr="00227340" w:rsidRDefault="00B07BD1" w:rsidP="00466A51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 xml:space="preserve">من المتوقع ارتفاع </w:t>
      </w:r>
      <w:r w:rsidR="00B90BEB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إجمالي الإيرادات الحكومية بنسبة </w:t>
      </w:r>
      <w:r w:rsidR="00466A51" w:rsidRPr="00227340">
        <w:rPr>
          <w:rFonts w:ascii="Simplified Arabic" w:hAnsi="Simplified Arabic" w:cs="Simplified Arabic" w:hint="cs"/>
          <w:rtl/>
        </w:rPr>
        <w:t>7</w:t>
      </w:r>
      <w:r w:rsidRPr="00227340">
        <w:rPr>
          <w:rFonts w:ascii="Simplified Arabic" w:hAnsi="Simplified Arabic" w:cs="Simplified Arabic" w:hint="cs"/>
          <w:rtl/>
        </w:rPr>
        <w:t xml:space="preserve">%، وزيادة </w:t>
      </w:r>
      <w:r w:rsidR="00B90BEB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النفقات الحكومية بنسبة </w:t>
      </w:r>
      <w:r w:rsidR="00466A51" w:rsidRPr="00227340">
        <w:rPr>
          <w:rFonts w:ascii="Simplified Arabic" w:hAnsi="Simplified Arabic" w:cs="Simplified Arabic" w:hint="cs"/>
          <w:rtl/>
        </w:rPr>
        <w:t>10</w:t>
      </w:r>
      <w:r w:rsidRPr="00227340">
        <w:rPr>
          <w:rFonts w:ascii="Simplified Arabic" w:hAnsi="Simplified Arabic" w:cs="Simplified Arabic" w:hint="cs"/>
          <w:rtl/>
        </w:rPr>
        <w:t>%</w:t>
      </w:r>
      <w:r w:rsidR="00EF0032" w:rsidRPr="00227340">
        <w:rPr>
          <w:rFonts w:ascii="Simplified Arabic" w:hAnsi="Simplified Arabic" w:cs="Simplified Arabic" w:hint="cs"/>
          <w:rtl/>
        </w:rPr>
        <w:t>.</w:t>
      </w:r>
    </w:p>
    <w:p w:rsidR="00B07BD1" w:rsidRPr="00227340" w:rsidRDefault="00B07BD1" w:rsidP="00B07BD1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</w:p>
    <w:p w:rsidR="004D72DB" w:rsidRPr="00227340" w:rsidRDefault="00B07BD1" w:rsidP="00B07BD1">
      <w:pPr>
        <w:jc w:val="both"/>
        <w:rPr>
          <w:rFonts w:cs="Simplified Arabic"/>
          <w:rtl/>
          <w:lang w:val="fr-CH"/>
        </w:rPr>
      </w:pPr>
      <w:r w:rsidRPr="00227340">
        <w:rPr>
          <w:rFonts w:cs="Simplified Arabic" w:hint="cs"/>
          <w:b/>
          <w:bCs/>
          <w:rtl/>
          <w:lang w:val="fr-CH"/>
        </w:rPr>
        <w:t>القطاع الخارجي</w:t>
      </w:r>
      <w:r w:rsidRPr="00227340">
        <w:rPr>
          <w:rFonts w:cs="Simplified Arabic" w:hint="cs"/>
          <w:rtl/>
          <w:lang w:val="fr-CH"/>
        </w:rPr>
        <w:t>:</w:t>
      </w:r>
    </w:p>
    <w:p w:rsidR="00B07BD1" w:rsidRPr="00227340" w:rsidRDefault="00B07BD1" w:rsidP="008565D3">
      <w:pPr>
        <w:jc w:val="both"/>
        <w:rPr>
          <w:rFonts w:ascii="Simplified Arabic" w:hAnsi="Simplified Arabic" w:cs="Simplified Arabic"/>
          <w:rtl/>
        </w:rPr>
      </w:pPr>
      <w:r w:rsidRPr="00227340">
        <w:rPr>
          <w:rFonts w:cs="Simplified Arabic" w:hint="cs"/>
          <w:rtl/>
          <w:lang w:val="fr-CH"/>
        </w:rPr>
        <w:t xml:space="preserve">من المتوقع انخفاض </w:t>
      </w:r>
      <w:r w:rsidR="006D61F8" w:rsidRPr="00227340">
        <w:rPr>
          <w:rFonts w:cs="Simplified Arabic" w:hint="cs"/>
          <w:rtl/>
          <w:lang w:val="fr-CH"/>
        </w:rPr>
        <w:t xml:space="preserve">قيمة </w:t>
      </w:r>
      <w:r w:rsidRPr="00227340">
        <w:rPr>
          <w:rFonts w:cs="Simplified Arabic" w:hint="cs"/>
          <w:rtl/>
          <w:lang w:val="fr-CH"/>
        </w:rPr>
        <w:t xml:space="preserve">العجز في صافي الحساب الجاري لفلسطين بنسبة </w:t>
      </w:r>
      <w:r w:rsidR="00466A51" w:rsidRPr="00227340">
        <w:rPr>
          <w:rFonts w:cs="Simplified Arabic" w:hint="cs"/>
          <w:rtl/>
          <w:lang w:val="fr-CH"/>
        </w:rPr>
        <w:t>31</w:t>
      </w:r>
      <w:r w:rsidR="006B6AB9" w:rsidRPr="00227340">
        <w:rPr>
          <w:rFonts w:cs="Simplified Arabic" w:hint="cs"/>
          <w:rtl/>
          <w:lang w:val="fr-CH"/>
        </w:rPr>
        <w:t>% نتيجة</w:t>
      </w:r>
      <w:r w:rsidRPr="00227340">
        <w:rPr>
          <w:rFonts w:cs="Simplified Arabic" w:hint="cs"/>
          <w:rtl/>
          <w:lang w:val="fr-CH"/>
        </w:rPr>
        <w:t xml:space="preserve"> </w:t>
      </w:r>
      <w:r w:rsidR="00EF0032" w:rsidRPr="00227340">
        <w:rPr>
          <w:rFonts w:cs="Simplified Arabic" w:hint="cs"/>
          <w:rtl/>
          <w:lang w:val="fr-CH" w:bidi="ar-JO"/>
        </w:rPr>
        <w:t>انخفاض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6D61F8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العجز في الميزان التجاري بنسبة </w:t>
      </w:r>
      <w:r w:rsidR="00EF0032" w:rsidRPr="00227340">
        <w:rPr>
          <w:rFonts w:ascii="Simplified Arabic" w:hAnsi="Simplified Arabic" w:cs="Simplified Arabic" w:hint="cs"/>
          <w:rtl/>
        </w:rPr>
        <w:t>0</w:t>
      </w:r>
      <w:r w:rsidR="005A7DEF" w:rsidRPr="00227340">
        <w:rPr>
          <w:rFonts w:ascii="Simplified Arabic" w:hAnsi="Simplified Arabic" w:cs="Simplified Arabic" w:hint="cs"/>
          <w:rtl/>
        </w:rPr>
        <w:t>.4</w:t>
      </w:r>
      <w:r w:rsidRPr="00227340">
        <w:rPr>
          <w:rFonts w:ascii="Simplified Arabic" w:hAnsi="Simplified Arabic" w:cs="Simplified Arabic" w:hint="cs"/>
          <w:rtl/>
        </w:rPr>
        <w:t xml:space="preserve">% </w:t>
      </w:r>
      <w:r w:rsidR="006B6AB9" w:rsidRPr="00227340">
        <w:rPr>
          <w:rFonts w:ascii="Simplified Arabic" w:hAnsi="Simplified Arabic" w:cs="Simplified Arabic" w:hint="cs"/>
          <w:rtl/>
        </w:rPr>
        <w:t>بسبب</w:t>
      </w:r>
      <w:r w:rsidRPr="00227340">
        <w:rPr>
          <w:rFonts w:ascii="Simplified Arabic" w:hAnsi="Simplified Arabic" w:cs="Simplified Arabic" w:hint="cs"/>
          <w:rtl/>
        </w:rPr>
        <w:t xml:space="preserve"> الزيادة المتوقعة في </w:t>
      </w:r>
      <w:r w:rsidR="00E63432" w:rsidRPr="00227340">
        <w:rPr>
          <w:rFonts w:ascii="Simplified Arabic" w:hAnsi="Simplified Arabic" w:cs="Simplified Arabic" w:hint="cs"/>
          <w:rtl/>
        </w:rPr>
        <w:t>قيمة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EF0032" w:rsidRPr="00227340">
        <w:rPr>
          <w:rFonts w:ascii="Simplified Arabic" w:hAnsi="Simplified Arabic" w:cs="Simplified Arabic" w:hint="cs"/>
          <w:rtl/>
        </w:rPr>
        <w:t>الصادرات</w:t>
      </w:r>
      <w:r w:rsidRPr="00227340">
        <w:rPr>
          <w:rFonts w:ascii="Simplified Arabic" w:hAnsi="Simplified Arabic" w:cs="Simplified Arabic" w:hint="cs"/>
          <w:rtl/>
        </w:rPr>
        <w:t xml:space="preserve"> بنسبة </w:t>
      </w:r>
      <w:r w:rsidR="00466A51" w:rsidRPr="00227340">
        <w:rPr>
          <w:rFonts w:ascii="Simplified Arabic" w:hAnsi="Simplified Arabic" w:cs="Simplified Arabic" w:hint="cs"/>
          <w:rtl/>
        </w:rPr>
        <w:t>8</w:t>
      </w:r>
      <w:r w:rsidRPr="00227340">
        <w:rPr>
          <w:rFonts w:ascii="Simplified Arabic" w:hAnsi="Simplified Arabic" w:cs="Simplified Arabic" w:hint="cs"/>
          <w:rtl/>
        </w:rPr>
        <w:t>%</w:t>
      </w:r>
      <w:r w:rsidR="00C6119C" w:rsidRPr="00227340">
        <w:rPr>
          <w:rFonts w:ascii="Simplified Arabic" w:hAnsi="Simplified Arabic" w:cs="Simplified Arabic" w:hint="cs"/>
          <w:rtl/>
        </w:rPr>
        <w:t xml:space="preserve"> بالرغم من الزيادة المتوقعة في قيمة </w:t>
      </w:r>
      <w:r w:rsidR="006B6161" w:rsidRPr="00227340">
        <w:rPr>
          <w:rFonts w:ascii="Simplified Arabic" w:hAnsi="Simplified Arabic" w:cs="Simplified Arabic" w:hint="cs"/>
          <w:rtl/>
        </w:rPr>
        <w:t>الواردات</w:t>
      </w:r>
      <w:r w:rsidR="00C6119C" w:rsidRPr="00227340">
        <w:rPr>
          <w:rFonts w:ascii="Simplified Arabic" w:hAnsi="Simplified Arabic" w:cs="Simplified Arabic" w:hint="cs"/>
          <w:rtl/>
        </w:rPr>
        <w:t xml:space="preserve"> بنسة </w:t>
      </w:r>
      <w:r w:rsidR="00466A51" w:rsidRPr="00227340">
        <w:rPr>
          <w:rFonts w:ascii="Simplified Arabic" w:hAnsi="Simplified Arabic" w:cs="Simplified Arabic" w:hint="cs"/>
          <w:rtl/>
        </w:rPr>
        <w:t>3</w:t>
      </w:r>
      <w:r w:rsidR="00C6119C" w:rsidRPr="00227340">
        <w:rPr>
          <w:rFonts w:ascii="Simplified Arabic" w:hAnsi="Simplified Arabic" w:cs="Simplified Arabic" w:hint="cs"/>
          <w:rtl/>
        </w:rPr>
        <w:t>%</w:t>
      </w:r>
      <w:r w:rsidR="00C04D5D" w:rsidRPr="00227340">
        <w:rPr>
          <w:rFonts w:ascii="Simplified Arabic" w:hAnsi="Simplified Arabic" w:cs="Simplified Arabic" w:hint="cs"/>
          <w:rtl/>
        </w:rPr>
        <w:t xml:space="preserve"> وكذلك نتيجة</w:t>
      </w:r>
      <w:r w:rsidR="00126B52" w:rsidRPr="00227340">
        <w:rPr>
          <w:rFonts w:ascii="Simplified Arabic" w:hAnsi="Simplified Arabic" w:cs="Simplified Arabic" w:hint="cs"/>
          <w:rtl/>
        </w:rPr>
        <w:t xml:space="preserve"> ارتفاع </w:t>
      </w:r>
      <w:r w:rsidR="006D61F8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>صافي الدخل</w:t>
      </w:r>
      <w:r w:rsidR="00126B52" w:rsidRPr="00227340">
        <w:rPr>
          <w:rFonts w:ascii="Simplified Arabic" w:hAnsi="Simplified Arabic" w:cs="Simplified Arabic" w:hint="cs"/>
          <w:rtl/>
        </w:rPr>
        <w:t xml:space="preserve"> وصافي التحويلات الجارية</w:t>
      </w:r>
      <w:r w:rsidRPr="00227340">
        <w:rPr>
          <w:rFonts w:ascii="Simplified Arabic" w:hAnsi="Simplified Arabic" w:cs="Simplified Arabic" w:hint="cs"/>
          <w:rtl/>
        </w:rPr>
        <w:t xml:space="preserve"> بنسبة </w:t>
      </w:r>
      <w:r w:rsidR="00466A51" w:rsidRPr="00227340">
        <w:rPr>
          <w:rFonts w:ascii="Simplified Arabic" w:hAnsi="Simplified Arabic" w:cs="Simplified Arabic" w:hint="cs"/>
          <w:rtl/>
        </w:rPr>
        <w:t>18</w:t>
      </w:r>
      <w:r w:rsidRPr="00227340">
        <w:rPr>
          <w:rFonts w:ascii="Simplified Arabic" w:hAnsi="Simplified Arabic" w:cs="Simplified Arabic" w:hint="cs"/>
          <w:rtl/>
        </w:rPr>
        <w:t>%</w:t>
      </w:r>
      <w:r w:rsidR="00126B52" w:rsidRPr="00227340">
        <w:rPr>
          <w:rFonts w:ascii="Simplified Arabic" w:hAnsi="Simplified Arabic" w:cs="Simplified Arabic" w:hint="cs"/>
          <w:rtl/>
        </w:rPr>
        <w:t>، 11% على التوالي</w:t>
      </w:r>
      <w:r w:rsidR="00350001" w:rsidRPr="00227340">
        <w:rPr>
          <w:rFonts w:ascii="Simplified Arabic" w:hAnsi="Simplified Arabic" w:cs="Simplified Arabic" w:hint="cs"/>
          <w:rtl/>
        </w:rPr>
        <w:t>، وارتفاع صافي الدخل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393D8E" w:rsidRPr="00227340">
        <w:rPr>
          <w:rFonts w:ascii="Simplified Arabic" w:hAnsi="Simplified Arabic" w:cs="Simplified Arabic" w:hint="cs"/>
          <w:rtl/>
        </w:rPr>
        <w:t>بسبب ارتفاع عدد العاملين في إسرائيل نتيجة تقليل</w:t>
      </w:r>
      <w:r w:rsidR="00943120" w:rsidRPr="00227340">
        <w:rPr>
          <w:rFonts w:ascii="Simplified Arabic" w:hAnsi="Simplified Arabic" w:cs="Simplified Arabic" w:hint="cs"/>
          <w:rtl/>
        </w:rPr>
        <w:t xml:space="preserve"> المعيقات المفروضة داخل فلسطين</w:t>
      </w:r>
      <w:r w:rsidRPr="00227340">
        <w:rPr>
          <w:rFonts w:ascii="Simplified Arabic" w:hAnsi="Simplified Arabic" w:cs="Simplified Arabic" w:hint="cs"/>
          <w:rtl/>
        </w:rPr>
        <w:t>،</w:t>
      </w:r>
      <w:r w:rsidR="00F47AE6" w:rsidRPr="00227340">
        <w:rPr>
          <w:rFonts w:ascii="Simplified Arabic" w:hAnsi="Simplified Arabic" w:cs="Simplified Arabic" w:hint="cs"/>
          <w:rtl/>
        </w:rPr>
        <w:t xml:space="preserve"> و</w:t>
      </w:r>
      <w:r w:rsidRPr="00227340">
        <w:rPr>
          <w:rFonts w:cs="Simplified Arabic" w:hint="cs"/>
          <w:rtl/>
          <w:lang w:val="fr-CH"/>
        </w:rPr>
        <w:t xml:space="preserve">يتوقع أن يرتفع </w:t>
      </w:r>
      <w:r w:rsidR="00B16B93" w:rsidRPr="00227340">
        <w:rPr>
          <w:rFonts w:cs="Simplified Arabic" w:hint="cs"/>
          <w:rtl/>
          <w:lang w:val="fr-CH"/>
        </w:rPr>
        <w:t xml:space="preserve">قيمة </w:t>
      </w:r>
      <w:r w:rsidRPr="00227340">
        <w:rPr>
          <w:rFonts w:cs="Simplified Arabic" w:hint="cs"/>
          <w:rtl/>
          <w:lang w:val="fr-CH"/>
        </w:rPr>
        <w:t xml:space="preserve">الدخل القومي </w:t>
      </w:r>
      <w:r w:rsidR="00583BB3" w:rsidRPr="00227340">
        <w:rPr>
          <w:rFonts w:cs="Simplified Arabic" w:hint="cs"/>
          <w:rtl/>
          <w:lang w:val="fr-CH"/>
        </w:rPr>
        <w:t>الاجمالي</w:t>
      </w:r>
      <w:r w:rsidRPr="00227340">
        <w:rPr>
          <w:rFonts w:cs="Simplified Arabic" w:hint="cs"/>
          <w:rtl/>
          <w:lang w:val="fr-CH"/>
        </w:rPr>
        <w:t xml:space="preserve"> بنسبة </w:t>
      </w:r>
      <w:r w:rsidR="00350001" w:rsidRPr="00227340">
        <w:rPr>
          <w:rFonts w:cs="Simplified Arabic" w:hint="cs"/>
          <w:rtl/>
          <w:lang w:val="fr-CH"/>
        </w:rPr>
        <w:t>6</w:t>
      </w:r>
      <w:r w:rsidRPr="00227340">
        <w:rPr>
          <w:rFonts w:cs="Simplified Arabic" w:hint="cs"/>
          <w:rtl/>
          <w:lang w:val="fr-CH"/>
        </w:rPr>
        <w:t xml:space="preserve">%، </w:t>
      </w:r>
      <w:r w:rsidR="00583BB3" w:rsidRPr="00227340">
        <w:rPr>
          <w:rFonts w:cs="Simplified Arabic" w:hint="cs"/>
          <w:rtl/>
          <w:lang w:val="fr-CH"/>
        </w:rPr>
        <w:t>و</w:t>
      </w:r>
      <w:r w:rsidR="00B16B93" w:rsidRPr="00227340">
        <w:rPr>
          <w:rFonts w:cs="Simplified Arabic" w:hint="cs"/>
          <w:rtl/>
          <w:lang w:val="fr-CH"/>
        </w:rPr>
        <w:t xml:space="preserve">قيمة </w:t>
      </w:r>
      <w:r w:rsidRPr="00227340">
        <w:rPr>
          <w:rFonts w:cs="Simplified Arabic" w:hint="cs"/>
          <w:rtl/>
          <w:lang w:val="fr-CH"/>
        </w:rPr>
        <w:t xml:space="preserve">الدخل القومي المتاح </w:t>
      </w:r>
      <w:r w:rsidR="00583BB3" w:rsidRPr="00227340">
        <w:rPr>
          <w:rFonts w:cs="Simplified Arabic" w:hint="cs"/>
          <w:rtl/>
          <w:lang w:val="fr-CH"/>
        </w:rPr>
        <w:t xml:space="preserve">الاجمالي </w:t>
      </w:r>
      <w:r w:rsidRPr="00227340">
        <w:rPr>
          <w:rFonts w:cs="Simplified Arabic" w:hint="cs"/>
          <w:rtl/>
          <w:lang w:val="fr-CH"/>
        </w:rPr>
        <w:t xml:space="preserve">بنسبة </w:t>
      </w:r>
      <w:r w:rsidR="00350001" w:rsidRPr="00227340">
        <w:rPr>
          <w:rFonts w:cs="Simplified Arabic" w:hint="cs"/>
          <w:rtl/>
          <w:lang w:val="fr-CH"/>
        </w:rPr>
        <w:t>6.4</w:t>
      </w:r>
      <w:r w:rsidRPr="00227340">
        <w:rPr>
          <w:rFonts w:cs="Simplified Arabic" w:hint="cs"/>
          <w:rtl/>
          <w:lang w:val="fr-CH"/>
        </w:rPr>
        <w:t>%</w:t>
      </w:r>
      <w:r w:rsidRPr="00227340">
        <w:rPr>
          <w:rFonts w:ascii="Simplified Arabic" w:hAnsi="Simplified Arabic" w:cs="Simplified Arabic" w:hint="cs"/>
          <w:rtl/>
        </w:rPr>
        <w:t>.</w:t>
      </w:r>
    </w:p>
    <w:p w:rsidR="00350001" w:rsidRPr="00227340" w:rsidRDefault="00350001" w:rsidP="00350001">
      <w:pPr>
        <w:jc w:val="both"/>
        <w:rPr>
          <w:rFonts w:ascii="Simplified Arabic" w:hAnsi="Simplified Arabic" w:cs="Simplified Arabic"/>
          <w:rtl/>
        </w:rPr>
      </w:pPr>
    </w:p>
    <w:p w:rsidR="00F23D1A" w:rsidRDefault="00F23D1A" w:rsidP="00350001">
      <w:pPr>
        <w:jc w:val="both"/>
        <w:rPr>
          <w:rFonts w:ascii="Simplified Arabic" w:hAnsi="Simplified Arabic" w:cs="Simplified Arabic"/>
          <w:rtl/>
        </w:rPr>
      </w:pPr>
    </w:p>
    <w:p w:rsidR="007E226E" w:rsidRPr="00227340" w:rsidRDefault="007E226E" w:rsidP="00350001">
      <w:pPr>
        <w:jc w:val="both"/>
        <w:rPr>
          <w:rFonts w:ascii="Simplified Arabic" w:hAnsi="Simplified Arabic" w:cs="Simplified Arabic"/>
        </w:rPr>
      </w:pPr>
    </w:p>
    <w:p w:rsidR="00B07BD1" w:rsidRPr="00227340" w:rsidRDefault="00B07BD1" w:rsidP="00B07BD1">
      <w:pPr>
        <w:ind w:right="720"/>
        <w:jc w:val="both"/>
        <w:rPr>
          <w:rFonts w:ascii="Simplified Arabic" w:hAnsi="Simplified Arabic" w:cs="Simplified Arabic"/>
          <w:b/>
          <w:bCs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 xml:space="preserve">3.السيناريو المتشائم </w:t>
      </w:r>
    </w:p>
    <w:p w:rsidR="00B07BD1" w:rsidRPr="00227340" w:rsidRDefault="00B07BD1" w:rsidP="008C0D05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 xml:space="preserve">يستند </w:t>
      </w:r>
      <w:r w:rsidRPr="00227340">
        <w:rPr>
          <w:rFonts w:cs="Simplified Arabic" w:hint="cs"/>
          <w:rtl/>
        </w:rPr>
        <w:t xml:space="preserve">هذا </w:t>
      </w:r>
      <w:r w:rsidRPr="00227340">
        <w:rPr>
          <w:rFonts w:ascii="Simplified Arabic" w:hAnsi="Simplified Arabic" w:cs="Simplified Arabic" w:hint="cs"/>
          <w:rtl/>
        </w:rPr>
        <w:t xml:space="preserve">السيناريو </w:t>
      </w:r>
      <w:r w:rsidR="00E1761C" w:rsidRPr="00227340">
        <w:rPr>
          <w:rFonts w:ascii="Simplified Arabic" w:hAnsi="Simplified Arabic" w:cs="Simplified Arabic" w:hint="cs"/>
          <w:rtl/>
        </w:rPr>
        <w:t>إ</w:t>
      </w:r>
      <w:r w:rsidR="001021B8" w:rsidRPr="00227340">
        <w:rPr>
          <w:rFonts w:ascii="Simplified Arabic" w:hAnsi="Simplified Arabic" w:cs="Simplified Arabic" w:hint="cs"/>
          <w:rtl/>
        </w:rPr>
        <w:t xml:space="preserve">لى افتراض </w:t>
      </w:r>
      <w:r w:rsidR="00813D20" w:rsidRPr="00227340">
        <w:rPr>
          <w:rFonts w:ascii="Simplified Arabic" w:hAnsi="Simplified Arabic" w:cs="Simplified Arabic" w:hint="cs"/>
          <w:rtl/>
        </w:rPr>
        <w:t xml:space="preserve">أن الوضع السياسي والاقتصادي </w:t>
      </w:r>
      <w:r w:rsidRPr="00227340">
        <w:rPr>
          <w:rFonts w:ascii="Simplified Arabic" w:hAnsi="Simplified Arabic" w:cs="Simplified Arabic" w:hint="cs"/>
          <w:rtl/>
        </w:rPr>
        <w:t>سيتدهور</w:t>
      </w:r>
      <w:r w:rsidR="001021B8" w:rsidRPr="00227340">
        <w:rPr>
          <w:rFonts w:ascii="Simplified Arabic" w:hAnsi="Simplified Arabic" w:cs="Simplified Arabic" w:hint="cs"/>
          <w:rtl/>
        </w:rPr>
        <w:t>،</w:t>
      </w:r>
      <w:r w:rsidRPr="00227340">
        <w:rPr>
          <w:rFonts w:ascii="Simplified Arabic" w:hAnsi="Simplified Arabic" w:cs="Simplified Arabic" w:hint="cs"/>
          <w:rtl/>
        </w:rPr>
        <w:t xml:space="preserve"> حيث </w:t>
      </w:r>
      <w:r w:rsidR="007F1354" w:rsidRPr="00227340">
        <w:rPr>
          <w:rFonts w:ascii="Simplified Arabic" w:hAnsi="Simplified Arabic" w:cs="Simplified Arabic" w:hint="cs"/>
          <w:rtl/>
        </w:rPr>
        <w:t xml:space="preserve">سيؤدي ذلك الى </w:t>
      </w:r>
      <w:r w:rsidRPr="00227340">
        <w:rPr>
          <w:rFonts w:ascii="Simplified Arabic" w:hAnsi="Simplified Arabic" w:cs="Simplified Arabic" w:hint="cs"/>
          <w:rtl/>
        </w:rPr>
        <w:t xml:space="preserve">انخفاض المساعدات المقدمة من الدول المانحة </w:t>
      </w:r>
      <w:r w:rsidRPr="00227340">
        <w:rPr>
          <w:rFonts w:cs="Simplified Arabic" w:hint="cs"/>
          <w:rtl/>
        </w:rPr>
        <w:t>لتمويل موازنة</w:t>
      </w:r>
      <w:r w:rsidR="003831F3" w:rsidRPr="00227340">
        <w:rPr>
          <w:rFonts w:cs="Simplified Arabic" w:hint="cs"/>
          <w:rtl/>
        </w:rPr>
        <w:t xml:space="preserve"> دولة فلسطين (الحكومة المركزية)</w:t>
      </w:r>
      <w:r w:rsidRPr="00227340">
        <w:rPr>
          <w:rFonts w:cs="Simplified Arabic" w:hint="cs"/>
          <w:rtl/>
        </w:rPr>
        <w:t>,</w:t>
      </w:r>
      <w:r w:rsidR="008C0D05" w:rsidRPr="00227340">
        <w:rPr>
          <w:rFonts w:cs="Simplified Arabic" w:hint="cs"/>
          <w:rtl/>
        </w:rPr>
        <w:t xml:space="preserve"> </w:t>
      </w:r>
      <w:r w:rsidR="00446E93" w:rsidRPr="00227340">
        <w:rPr>
          <w:rFonts w:ascii="Simplified Arabic" w:hAnsi="Simplified Arabic" w:cs="Simplified Arabic" w:hint="cs"/>
          <w:rtl/>
        </w:rPr>
        <w:t>و</w:t>
      </w:r>
      <w:r w:rsidR="003831F3" w:rsidRPr="00227340">
        <w:rPr>
          <w:rFonts w:ascii="Simplified Arabic" w:hAnsi="Simplified Arabic" w:cs="Simplified Arabic" w:hint="cs"/>
          <w:rtl/>
        </w:rPr>
        <w:t xml:space="preserve">تذبذب في </w:t>
      </w:r>
      <w:r w:rsidRPr="00227340">
        <w:rPr>
          <w:rFonts w:ascii="Simplified Arabic" w:hAnsi="Simplified Arabic" w:cs="Simplified Arabic" w:hint="cs"/>
          <w:rtl/>
        </w:rPr>
        <w:t xml:space="preserve">تحويل </w:t>
      </w:r>
      <w:r w:rsidRPr="00227340">
        <w:rPr>
          <w:rFonts w:cs="Simplified Arabic" w:hint="cs"/>
          <w:rtl/>
        </w:rPr>
        <w:t>الأموال الخاصة بإيرادات المقاصة</w:t>
      </w:r>
      <w:r w:rsidR="003831F3" w:rsidRPr="00227340">
        <w:rPr>
          <w:rFonts w:ascii="Simplified Arabic" w:hAnsi="Simplified Arabic" w:cs="Simplified Arabic" w:hint="cs"/>
          <w:rtl/>
        </w:rPr>
        <w:t xml:space="preserve"> وانخفاض في تحصيل ضريبة القيمة المضافة </w:t>
      </w:r>
      <w:r w:rsidR="00446E93" w:rsidRPr="00227340">
        <w:rPr>
          <w:rFonts w:ascii="Simplified Arabic" w:hAnsi="Simplified Arabic" w:cs="Simplified Arabic" w:hint="cs"/>
          <w:rtl/>
        </w:rPr>
        <w:t>المحلي</w:t>
      </w:r>
      <w:r w:rsidR="00B769BD" w:rsidRPr="00227340">
        <w:rPr>
          <w:rFonts w:ascii="Simplified Arabic" w:hAnsi="Simplified Arabic" w:cs="Simplified Arabic" w:hint="cs"/>
          <w:rtl/>
        </w:rPr>
        <w:t>ة</w:t>
      </w:r>
      <w:r w:rsidR="00446E93" w:rsidRPr="00227340">
        <w:rPr>
          <w:rFonts w:ascii="Simplified Arabic" w:hAnsi="Simplified Arabic" w:cs="Simplified Arabic" w:hint="cs"/>
          <w:rtl/>
        </w:rPr>
        <w:t xml:space="preserve"> </w:t>
      </w:r>
      <w:r w:rsidR="00B769BD" w:rsidRPr="00227340">
        <w:rPr>
          <w:rFonts w:ascii="Simplified Arabic" w:hAnsi="Simplified Arabic" w:cs="Simplified Arabic" w:hint="cs"/>
          <w:rtl/>
        </w:rPr>
        <w:t xml:space="preserve">وضريبة القيمة المضافة من </w:t>
      </w:r>
      <w:r w:rsidR="00446E93" w:rsidRPr="00227340">
        <w:rPr>
          <w:rFonts w:ascii="Simplified Arabic" w:hAnsi="Simplified Arabic" w:cs="Simplified Arabic" w:hint="cs"/>
          <w:rtl/>
        </w:rPr>
        <w:t>ال</w:t>
      </w:r>
      <w:r w:rsidR="005D55BC" w:rsidRPr="00227340">
        <w:rPr>
          <w:rFonts w:ascii="Simplified Arabic" w:hAnsi="Simplified Arabic" w:cs="Simplified Arabic" w:hint="cs"/>
          <w:rtl/>
        </w:rPr>
        <w:t>مقاصة</w:t>
      </w:r>
      <w:r w:rsidR="003831F3" w:rsidRPr="00227340">
        <w:rPr>
          <w:rFonts w:ascii="Simplified Arabic" w:hAnsi="Simplified Arabic" w:cs="Simplified Arabic" w:hint="cs"/>
          <w:rtl/>
        </w:rPr>
        <w:t>،</w:t>
      </w:r>
      <w:r w:rsidR="005D55BC" w:rsidRPr="00227340">
        <w:rPr>
          <w:rFonts w:ascii="Simplified Arabic" w:hAnsi="Simplified Arabic" w:cs="Simplified Arabic" w:hint="cs"/>
          <w:rtl/>
        </w:rPr>
        <w:t xml:space="preserve"> وانخفاض في تحصيل ضريبة الدخل،</w:t>
      </w:r>
      <w:r w:rsidR="00FD15AD" w:rsidRPr="00227340">
        <w:rPr>
          <w:rFonts w:ascii="Simplified Arabic" w:hAnsi="Simplified Arabic" w:cs="Simplified Arabic" w:hint="cs"/>
          <w:rtl/>
        </w:rPr>
        <w:t xml:space="preserve"> وانخفاض النفقات التطويرية،</w:t>
      </w:r>
      <w:r w:rsidR="005D55BC" w:rsidRPr="00227340">
        <w:rPr>
          <w:rFonts w:ascii="Simplified Arabic" w:hAnsi="Simplified Arabic" w:cs="Simplified Arabic" w:hint="cs"/>
          <w:rtl/>
        </w:rPr>
        <w:t xml:space="preserve"> </w:t>
      </w:r>
      <w:r w:rsidRPr="00227340">
        <w:rPr>
          <w:rFonts w:ascii="Simplified Arabic" w:hAnsi="Simplified Arabic" w:cs="Simplified Arabic" w:hint="cs"/>
          <w:rtl/>
        </w:rPr>
        <w:t>كما ستزداد العراقيل التي تضعها إسرائيل على حركة الأشخاص والبضائع داخل فلسطين أو بين فلسطين و</w:t>
      </w:r>
      <w:r w:rsidR="000452C8" w:rsidRPr="00227340">
        <w:rPr>
          <w:rFonts w:ascii="Simplified Arabic" w:hAnsi="Simplified Arabic" w:cs="Simplified Arabic" w:hint="cs"/>
          <w:rtl/>
        </w:rPr>
        <w:t>ال</w:t>
      </w:r>
      <w:r w:rsidRPr="00227340">
        <w:rPr>
          <w:rFonts w:ascii="Simplified Arabic" w:hAnsi="Simplified Arabic" w:cs="Simplified Arabic" w:hint="cs"/>
          <w:rtl/>
        </w:rPr>
        <w:t>دول المجاورة</w:t>
      </w:r>
      <w:r w:rsidR="00443A70" w:rsidRPr="00227340">
        <w:rPr>
          <w:rFonts w:ascii="Simplified Arabic" w:hAnsi="Simplified Arabic" w:cs="Simplified Arabic" w:hint="cs"/>
          <w:rtl/>
        </w:rPr>
        <w:t>، و</w:t>
      </w:r>
      <w:r w:rsidR="00443A70" w:rsidRPr="00227340">
        <w:rPr>
          <w:rFonts w:cs="Simplified Arabic" w:hint="cs"/>
          <w:rtl/>
          <w:lang w:val="fr-CH"/>
        </w:rPr>
        <w:t>انخفاض عدد العاملين في إسرائيل بسبب الإغلاق</w:t>
      </w:r>
      <w:r w:rsidR="00E1761C" w:rsidRPr="00227340">
        <w:rPr>
          <w:rFonts w:cs="Simplified Arabic" w:hint="cs"/>
          <w:rtl/>
          <w:lang w:val="fr-CH"/>
        </w:rPr>
        <w:t xml:space="preserve"> المتوقع</w:t>
      </w:r>
      <w:r w:rsidR="007F1354" w:rsidRPr="00227340">
        <w:rPr>
          <w:rFonts w:ascii="Simplified Arabic" w:hAnsi="Simplified Arabic" w:cs="Simplified Arabic" w:hint="cs"/>
          <w:rtl/>
        </w:rPr>
        <w:t>.</w:t>
      </w:r>
    </w:p>
    <w:p w:rsidR="00B07BD1" w:rsidRPr="00227340" w:rsidRDefault="00B07BD1" w:rsidP="00F85A2C">
      <w:pPr>
        <w:pStyle w:val="ListParagraph"/>
        <w:ind w:left="0" w:firstLine="720"/>
        <w:jc w:val="both"/>
        <w:rPr>
          <w:rFonts w:ascii="Simplified Arabic" w:hAnsi="Simplified Arabic" w:cs="Simplified Arabic"/>
          <w:rtl/>
        </w:rPr>
      </w:pPr>
    </w:p>
    <w:p w:rsidR="00B07BD1" w:rsidRPr="00227340" w:rsidRDefault="003C5A40" w:rsidP="00B07BD1">
      <w:pPr>
        <w:pStyle w:val="ListParagraph"/>
        <w:ind w:left="0"/>
        <w:jc w:val="both"/>
        <w:rPr>
          <w:rFonts w:ascii="Simplified Arabic" w:hAnsi="Simplified Arabic" w:cs="Simplified Arabic"/>
          <w:b/>
          <w:bCs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 xml:space="preserve">توقعات </w:t>
      </w:r>
      <w:r w:rsidR="00B07BD1" w:rsidRPr="00227340">
        <w:rPr>
          <w:rFonts w:ascii="Simplified Arabic" w:hAnsi="Simplified Arabic" w:cs="Simplified Arabic" w:hint="cs"/>
          <w:b/>
          <w:bCs/>
          <w:rtl/>
        </w:rPr>
        <w:t>السيناريو المتشائم :</w:t>
      </w:r>
    </w:p>
    <w:p w:rsidR="007B7D56" w:rsidRPr="00227340" w:rsidRDefault="00B07BD1" w:rsidP="00B07BD1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>القطاع الحقيقي</w:t>
      </w:r>
      <w:r w:rsidRPr="00227340">
        <w:rPr>
          <w:rFonts w:ascii="Simplified Arabic" w:hAnsi="Simplified Arabic" w:cs="Simplified Arabic" w:hint="cs"/>
          <w:rtl/>
        </w:rPr>
        <w:t>:</w:t>
      </w:r>
    </w:p>
    <w:p w:rsidR="00B07BD1" w:rsidRPr="00227340" w:rsidRDefault="007B7D56" w:rsidP="00F23D1A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>الناتج المحلي الاجمالي:</w:t>
      </w:r>
      <w:r w:rsidR="00B07BD1" w:rsidRPr="00227340">
        <w:rPr>
          <w:rFonts w:ascii="Simplified Arabic" w:hAnsi="Simplified Arabic" w:cs="Simplified Arabic" w:hint="cs"/>
          <w:rtl/>
        </w:rPr>
        <w:t xml:space="preserve"> من المتوقع انخفاض قيمة الناتج المحلي الإجمالي بنسبة </w:t>
      </w:r>
      <w:r w:rsidR="00F23D1A" w:rsidRPr="00227340">
        <w:rPr>
          <w:rFonts w:ascii="Simplified Arabic" w:hAnsi="Simplified Arabic" w:cs="Simplified Arabic" w:hint="cs"/>
          <w:rtl/>
        </w:rPr>
        <w:t>3</w:t>
      </w:r>
      <w:r w:rsidR="00B07BD1" w:rsidRPr="00227340">
        <w:rPr>
          <w:rFonts w:ascii="Simplified Arabic" w:hAnsi="Simplified Arabic" w:cs="Simplified Arabic" w:hint="cs"/>
          <w:rtl/>
        </w:rPr>
        <w:t xml:space="preserve">% خلال عام </w:t>
      </w:r>
      <w:r w:rsidR="00BF5F04" w:rsidRPr="00227340">
        <w:rPr>
          <w:rFonts w:ascii="Simplified Arabic" w:hAnsi="Simplified Arabic" w:cs="Simplified Arabic" w:hint="cs"/>
          <w:rtl/>
        </w:rPr>
        <w:t>2019</w:t>
      </w:r>
      <w:r w:rsidR="00B07BD1" w:rsidRPr="00227340">
        <w:rPr>
          <w:rFonts w:ascii="Simplified Arabic" w:hAnsi="Simplified Arabic" w:cs="Simplified Arabic" w:hint="cs"/>
          <w:rtl/>
        </w:rPr>
        <w:t xml:space="preserve">، وانخفاض </w:t>
      </w:r>
      <w:r w:rsidR="00C15B0B" w:rsidRPr="00227340">
        <w:rPr>
          <w:rFonts w:ascii="Simplified Arabic" w:hAnsi="Simplified Arabic" w:cs="Simplified Arabic" w:hint="cs"/>
          <w:rtl/>
        </w:rPr>
        <w:t xml:space="preserve">قيمة </w:t>
      </w:r>
      <w:r w:rsidR="00B07BD1" w:rsidRPr="00227340">
        <w:rPr>
          <w:rFonts w:ascii="Simplified Arabic" w:hAnsi="Simplified Arabic" w:cs="Simplified Arabic" w:hint="cs"/>
          <w:rtl/>
        </w:rPr>
        <w:t>نصيب الفرد من</w:t>
      </w:r>
      <w:r w:rsidR="00B12F3F" w:rsidRPr="00227340">
        <w:rPr>
          <w:rFonts w:ascii="Simplified Arabic" w:hAnsi="Simplified Arabic" w:cs="Simplified Arabic" w:hint="cs"/>
          <w:rtl/>
        </w:rPr>
        <w:t>ه</w:t>
      </w:r>
      <w:r w:rsidR="00AA6DC6" w:rsidRPr="00227340">
        <w:rPr>
          <w:rFonts w:ascii="Simplified Arabic" w:hAnsi="Simplified Arabic" w:cs="Simplified Arabic" w:hint="cs"/>
          <w:rtl/>
        </w:rPr>
        <w:t xml:space="preserve"> بنسبة </w:t>
      </w:r>
      <w:r w:rsidR="00F23D1A" w:rsidRPr="00227340">
        <w:rPr>
          <w:rFonts w:ascii="Simplified Arabic" w:hAnsi="Simplified Arabic" w:cs="Simplified Arabic" w:hint="cs"/>
          <w:rtl/>
        </w:rPr>
        <w:t>5</w:t>
      </w:r>
      <w:r w:rsidR="00121C80" w:rsidRPr="00227340">
        <w:rPr>
          <w:rFonts w:ascii="Simplified Arabic" w:hAnsi="Simplified Arabic" w:cs="Simplified Arabic" w:hint="cs"/>
          <w:rtl/>
        </w:rPr>
        <w:t xml:space="preserve">%. </w:t>
      </w:r>
      <w:r w:rsidR="00B07BD1" w:rsidRPr="00227340">
        <w:rPr>
          <w:rFonts w:ascii="Simplified Arabic" w:hAnsi="Simplified Arabic" w:cs="Simplified Arabic" w:hint="cs"/>
          <w:rtl/>
        </w:rPr>
        <w:t xml:space="preserve">ومن المتوقع أن </w:t>
      </w:r>
      <w:r w:rsidR="008C0D05" w:rsidRPr="00227340">
        <w:rPr>
          <w:rFonts w:ascii="Simplified Arabic" w:hAnsi="Simplified Arabic" w:cs="Simplified Arabic" w:hint="cs"/>
          <w:rtl/>
        </w:rPr>
        <w:t>تنخفض</w:t>
      </w:r>
      <w:r w:rsidR="00B07BD1" w:rsidRPr="00227340">
        <w:rPr>
          <w:rFonts w:ascii="Simplified Arabic" w:hAnsi="Simplified Arabic" w:cs="Simplified Arabic" w:hint="cs"/>
          <w:rtl/>
        </w:rPr>
        <w:t xml:space="preserve"> </w:t>
      </w:r>
      <w:r w:rsidR="00C15B0B" w:rsidRPr="00227340">
        <w:rPr>
          <w:rFonts w:ascii="Simplified Arabic" w:hAnsi="Simplified Arabic" w:cs="Simplified Arabic" w:hint="cs"/>
          <w:rtl/>
        </w:rPr>
        <w:t xml:space="preserve">قيمة </w:t>
      </w:r>
      <w:r w:rsidR="00B07BD1" w:rsidRPr="00227340">
        <w:rPr>
          <w:rFonts w:ascii="Simplified Arabic" w:hAnsi="Simplified Arabic" w:cs="Simplified Arabic" w:hint="cs"/>
          <w:rtl/>
        </w:rPr>
        <w:t xml:space="preserve">إجمالي الاستهلاك بنسبة </w:t>
      </w:r>
      <w:r w:rsidR="00F23D1A" w:rsidRPr="00227340">
        <w:rPr>
          <w:rFonts w:ascii="Simplified Arabic" w:hAnsi="Simplified Arabic" w:cs="Simplified Arabic" w:hint="cs"/>
          <w:rtl/>
        </w:rPr>
        <w:t>3</w:t>
      </w:r>
      <w:r w:rsidR="00B07BD1" w:rsidRPr="00227340">
        <w:rPr>
          <w:rFonts w:ascii="Simplified Arabic" w:hAnsi="Simplified Arabic" w:cs="Simplified Arabic" w:hint="cs"/>
          <w:rtl/>
        </w:rPr>
        <w:t xml:space="preserve">%، وأن </w:t>
      </w:r>
      <w:r w:rsidR="00C15B0B" w:rsidRPr="00227340">
        <w:rPr>
          <w:rFonts w:ascii="Simplified Arabic" w:hAnsi="Simplified Arabic" w:cs="Simplified Arabic" w:hint="cs"/>
          <w:rtl/>
        </w:rPr>
        <w:t>ت</w:t>
      </w:r>
      <w:r w:rsidR="00B07BD1" w:rsidRPr="00227340">
        <w:rPr>
          <w:rFonts w:ascii="Simplified Arabic" w:hAnsi="Simplified Arabic" w:cs="Simplified Arabic" w:hint="cs"/>
          <w:rtl/>
        </w:rPr>
        <w:t xml:space="preserve">نخفض </w:t>
      </w:r>
      <w:r w:rsidR="00C15B0B" w:rsidRPr="00227340">
        <w:rPr>
          <w:rFonts w:ascii="Simplified Arabic" w:hAnsi="Simplified Arabic" w:cs="Simplified Arabic" w:hint="cs"/>
          <w:rtl/>
        </w:rPr>
        <w:t xml:space="preserve">قيمة </w:t>
      </w:r>
      <w:r w:rsidR="00106D72" w:rsidRPr="00227340">
        <w:rPr>
          <w:rFonts w:ascii="Simplified Arabic" w:hAnsi="Simplified Arabic" w:cs="Simplified Arabic" w:hint="cs"/>
          <w:rtl/>
        </w:rPr>
        <w:t>إجمالي الاستثمار</w:t>
      </w:r>
      <w:r w:rsidR="00B07BD1" w:rsidRPr="00227340">
        <w:rPr>
          <w:rFonts w:ascii="Simplified Arabic" w:hAnsi="Simplified Arabic" w:cs="Simplified Arabic" w:hint="cs"/>
          <w:rtl/>
        </w:rPr>
        <w:t xml:space="preserve"> بنسبة </w:t>
      </w:r>
      <w:r w:rsidR="00F23D1A" w:rsidRPr="00227340">
        <w:rPr>
          <w:rFonts w:ascii="Simplified Arabic" w:hAnsi="Simplified Arabic" w:cs="Simplified Arabic" w:hint="cs"/>
          <w:rtl/>
        </w:rPr>
        <w:t>4</w:t>
      </w:r>
      <w:r w:rsidR="00B07BD1" w:rsidRPr="00227340">
        <w:rPr>
          <w:rFonts w:ascii="Simplified Arabic" w:hAnsi="Simplified Arabic" w:cs="Simplified Arabic" w:hint="cs"/>
          <w:rtl/>
        </w:rPr>
        <w:t>%.</w:t>
      </w:r>
    </w:p>
    <w:p w:rsidR="007B7D56" w:rsidRPr="00227340" w:rsidRDefault="007B7D56" w:rsidP="00121C80">
      <w:pPr>
        <w:pStyle w:val="ListParagraph"/>
        <w:ind w:left="0" w:firstLine="720"/>
        <w:jc w:val="both"/>
        <w:rPr>
          <w:rFonts w:ascii="Simplified Arabic" w:hAnsi="Simplified Arabic" w:cs="Simplified Arabic"/>
          <w:rtl/>
        </w:rPr>
      </w:pPr>
    </w:p>
    <w:p w:rsidR="007B7D56" w:rsidRPr="00227340" w:rsidRDefault="007B7D56" w:rsidP="00F23D1A">
      <w:pPr>
        <w:pStyle w:val="ListParagraph"/>
        <w:ind w:left="71"/>
        <w:jc w:val="both"/>
        <w:rPr>
          <w:rFonts w:cs="Simplified Arabic"/>
          <w:rtl/>
          <w:lang w:val="fr-CH"/>
        </w:rPr>
      </w:pPr>
      <w:r w:rsidRPr="00227340">
        <w:rPr>
          <w:rFonts w:ascii="Simplified Arabic" w:hAnsi="Simplified Arabic" w:cs="Simplified Arabic" w:hint="cs"/>
          <w:rtl/>
        </w:rPr>
        <w:t xml:space="preserve">العمل والعمال: </w:t>
      </w:r>
      <w:r w:rsidRPr="00227340">
        <w:rPr>
          <w:rFonts w:cs="Simplified Arabic" w:hint="cs"/>
          <w:rtl/>
          <w:lang w:val="fr-CH"/>
        </w:rPr>
        <w:t xml:space="preserve">من المتوقع أن </w:t>
      </w:r>
      <w:r w:rsidR="003A4D3C" w:rsidRPr="00227340">
        <w:rPr>
          <w:rFonts w:cs="Simplified Arabic" w:hint="cs"/>
          <w:rtl/>
          <w:lang w:val="fr-CH"/>
        </w:rPr>
        <w:t>ينخفض</w:t>
      </w:r>
      <w:r w:rsidRPr="00227340">
        <w:rPr>
          <w:rFonts w:cs="Simplified Arabic" w:hint="cs"/>
          <w:rtl/>
          <w:lang w:val="fr-CH"/>
        </w:rPr>
        <w:t xml:space="preserve"> عدد العاملين</w:t>
      </w:r>
      <w:r w:rsidR="003A4D3C" w:rsidRPr="00227340">
        <w:rPr>
          <w:rFonts w:cs="Simplified Arabic" w:hint="cs"/>
          <w:rtl/>
          <w:lang w:val="fr-CH"/>
        </w:rPr>
        <w:t xml:space="preserve"> الفلسطينيين في اسرائيل</w:t>
      </w:r>
      <w:r w:rsidRPr="00227340">
        <w:rPr>
          <w:rFonts w:cs="Simplified Arabic" w:hint="cs"/>
          <w:rtl/>
          <w:lang w:val="fr-CH"/>
        </w:rPr>
        <w:t xml:space="preserve"> بنسبة </w:t>
      </w:r>
      <w:r w:rsidR="00F23D1A" w:rsidRPr="00227340">
        <w:rPr>
          <w:rFonts w:cs="Simplified Arabic" w:hint="cs"/>
          <w:rtl/>
          <w:lang w:val="fr-CH"/>
        </w:rPr>
        <w:t>12</w:t>
      </w:r>
      <w:r w:rsidRPr="00227340">
        <w:rPr>
          <w:rFonts w:cs="Simplified Arabic" w:hint="cs"/>
          <w:rtl/>
          <w:lang w:val="fr-CH"/>
        </w:rPr>
        <w:t xml:space="preserve">%، </w:t>
      </w:r>
      <w:r w:rsidR="003A4D3C" w:rsidRPr="00227340">
        <w:rPr>
          <w:rFonts w:cs="Simplified Arabic" w:hint="cs"/>
          <w:rtl/>
          <w:lang w:val="fr-CH"/>
        </w:rPr>
        <w:t xml:space="preserve">مما </w:t>
      </w:r>
      <w:r w:rsidR="00101EF1" w:rsidRPr="00227340">
        <w:rPr>
          <w:rFonts w:cs="Simplified Arabic" w:hint="cs"/>
          <w:rtl/>
          <w:lang w:val="fr-CH"/>
        </w:rPr>
        <w:t>سيؤدي</w:t>
      </w:r>
      <w:r w:rsidR="003A4D3C" w:rsidRPr="00227340">
        <w:rPr>
          <w:rFonts w:cs="Simplified Arabic" w:hint="cs"/>
          <w:rtl/>
          <w:lang w:val="fr-CH"/>
        </w:rPr>
        <w:t xml:space="preserve"> الى ارتفاع</w:t>
      </w:r>
      <w:r w:rsidRPr="00227340">
        <w:rPr>
          <w:rFonts w:cs="Simplified Arabic" w:hint="cs"/>
          <w:rtl/>
          <w:lang w:val="fr-CH"/>
        </w:rPr>
        <w:t xml:space="preserve"> معدل البطالة</w:t>
      </w:r>
      <w:r w:rsidR="00065ED4" w:rsidRPr="00227340">
        <w:rPr>
          <w:rFonts w:cs="Simplified Arabic" w:hint="cs"/>
          <w:rtl/>
          <w:lang w:val="fr-CH"/>
        </w:rPr>
        <w:t xml:space="preserve"> ل</w:t>
      </w:r>
      <w:r w:rsidRPr="00227340">
        <w:rPr>
          <w:rFonts w:cs="Simplified Arabic" w:hint="cs"/>
          <w:rtl/>
          <w:lang w:val="fr-CH"/>
        </w:rPr>
        <w:t>يصل خلا</w:t>
      </w:r>
      <w:r w:rsidR="00F26F81" w:rsidRPr="00227340">
        <w:rPr>
          <w:rFonts w:cs="Simplified Arabic" w:hint="cs"/>
          <w:rtl/>
          <w:lang w:val="fr-CH"/>
        </w:rPr>
        <w:t xml:space="preserve">ل عام </w:t>
      </w:r>
      <w:r w:rsidR="00BF5F04" w:rsidRPr="00227340">
        <w:rPr>
          <w:rFonts w:cs="Simplified Arabic" w:hint="cs"/>
          <w:rtl/>
          <w:lang w:val="fr-CH"/>
        </w:rPr>
        <w:t>2019</w:t>
      </w:r>
      <w:r w:rsidR="00F26F81" w:rsidRPr="00227340">
        <w:rPr>
          <w:rFonts w:cs="Simplified Arabic" w:hint="cs"/>
          <w:rtl/>
          <w:lang w:val="fr-CH"/>
        </w:rPr>
        <w:t xml:space="preserve"> </w:t>
      </w:r>
      <w:r w:rsidRPr="00227340">
        <w:rPr>
          <w:rFonts w:cs="Simplified Arabic" w:hint="cs"/>
          <w:rtl/>
          <w:lang w:val="fr-CH"/>
        </w:rPr>
        <w:t xml:space="preserve">إلى </w:t>
      </w:r>
      <w:r w:rsidR="00F23D1A" w:rsidRPr="00227340">
        <w:rPr>
          <w:rFonts w:cs="Simplified Arabic" w:hint="cs"/>
          <w:rtl/>
          <w:lang w:val="fr-CH"/>
        </w:rPr>
        <w:t>33</w:t>
      </w:r>
      <w:r w:rsidRPr="00227340">
        <w:rPr>
          <w:rFonts w:cs="Simplified Arabic" w:hint="cs"/>
          <w:rtl/>
          <w:lang w:val="fr-CH"/>
        </w:rPr>
        <w:t>%.</w:t>
      </w:r>
    </w:p>
    <w:p w:rsidR="007B7D56" w:rsidRPr="00227340" w:rsidRDefault="007B7D56" w:rsidP="007B7D56">
      <w:pPr>
        <w:pStyle w:val="ListParagraph"/>
        <w:ind w:left="71"/>
        <w:jc w:val="both"/>
        <w:rPr>
          <w:rFonts w:cs="Simplified Arabic"/>
          <w:rtl/>
          <w:lang w:val="fr-CH"/>
        </w:rPr>
      </w:pPr>
    </w:p>
    <w:p w:rsidR="00B07BD1" w:rsidRPr="00227340" w:rsidRDefault="007B7D56" w:rsidP="007B7D56">
      <w:pPr>
        <w:ind w:left="71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>قطاع المالية العامة</w:t>
      </w:r>
      <w:r w:rsidRPr="00227340">
        <w:rPr>
          <w:rFonts w:ascii="Simplified Arabic" w:hAnsi="Simplified Arabic" w:cs="Simplified Arabic" w:hint="cs"/>
          <w:rtl/>
        </w:rPr>
        <w:t xml:space="preserve">: </w:t>
      </w:r>
      <w:r w:rsidR="00B07BD1" w:rsidRPr="00227340">
        <w:rPr>
          <w:rFonts w:ascii="Simplified Arabic" w:hAnsi="Simplified Arabic" w:cs="Simplified Arabic"/>
          <w:rtl/>
        </w:rPr>
        <w:tab/>
      </w:r>
    </w:p>
    <w:p w:rsidR="00B55C12" w:rsidRPr="00227340" w:rsidRDefault="00B07BD1" w:rsidP="00493B1C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 xml:space="preserve">من المتوقع انخفاض </w:t>
      </w:r>
      <w:r w:rsidR="00C15B0B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الإيرادات الحكومية بنسبة </w:t>
      </w:r>
      <w:r w:rsidR="00493B1C" w:rsidRPr="00227340">
        <w:rPr>
          <w:rFonts w:ascii="Simplified Arabic" w:hAnsi="Simplified Arabic" w:cs="Simplified Arabic"/>
        </w:rPr>
        <w:t>9</w:t>
      </w:r>
      <w:r w:rsidRPr="00227340">
        <w:rPr>
          <w:rFonts w:ascii="Simplified Arabic" w:hAnsi="Simplified Arabic" w:cs="Simplified Arabic" w:hint="cs"/>
          <w:rtl/>
        </w:rPr>
        <w:t>% نتيجة تجميد جزء من العوائد الضريبية من قبل اسرائيل بال</w:t>
      </w:r>
      <w:r w:rsidR="00E1761C" w:rsidRPr="00227340">
        <w:rPr>
          <w:rFonts w:ascii="Simplified Arabic" w:hAnsi="Simplified Arabic" w:cs="Simplified Arabic" w:hint="cs"/>
          <w:rtl/>
        </w:rPr>
        <w:t>إ</w:t>
      </w:r>
      <w:r w:rsidRPr="00227340">
        <w:rPr>
          <w:rFonts w:ascii="Simplified Arabic" w:hAnsi="Simplified Arabic" w:cs="Simplified Arabic" w:hint="cs"/>
          <w:rtl/>
        </w:rPr>
        <w:t xml:space="preserve">ضافة </w:t>
      </w:r>
      <w:r w:rsidR="00E1761C" w:rsidRPr="00227340">
        <w:rPr>
          <w:rFonts w:ascii="Simplified Arabic" w:hAnsi="Simplified Arabic" w:cs="Simplified Arabic" w:hint="cs"/>
          <w:rtl/>
        </w:rPr>
        <w:t>إ</w:t>
      </w:r>
      <w:r w:rsidRPr="00227340">
        <w:rPr>
          <w:rFonts w:ascii="Simplified Arabic" w:hAnsi="Simplified Arabic" w:cs="Simplified Arabic" w:hint="cs"/>
          <w:rtl/>
        </w:rPr>
        <w:t>لى زيادة التهرب الضريبي، وكذلك انخفاض</w:t>
      </w:r>
      <w:r w:rsidR="000E4A96" w:rsidRPr="00227340">
        <w:rPr>
          <w:rFonts w:ascii="Simplified Arabic" w:hAnsi="Simplified Arabic" w:cs="Simplified Arabic" w:hint="cs"/>
          <w:rtl/>
        </w:rPr>
        <w:t xml:space="preserve"> قيمة </w:t>
      </w:r>
      <w:r w:rsidRPr="00227340">
        <w:rPr>
          <w:rFonts w:ascii="Simplified Arabic" w:hAnsi="Simplified Arabic" w:cs="Simplified Arabic" w:hint="cs"/>
          <w:rtl/>
        </w:rPr>
        <w:t xml:space="preserve">النفقات الحكومية بنسبة </w:t>
      </w:r>
      <w:r w:rsidR="00F23D1A" w:rsidRPr="00227340">
        <w:rPr>
          <w:rFonts w:ascii="Simplified Arabic" w:hAnsi="Simplified Arabic" w:cs="Simplified Arabic" w:hint="cs"/>
          <w:rtl/>
        </w:rPr>
        <w:t>12</w:t>
      </w:r>
      <w:r w:rsidR="009451CF" w:rsidRPr="00227340">
        <w:rPr>
          <w:rFonts w:ascii="Simplified Arabic" w:hAnsi="Simplified Arabic" w:cs="Simplified Arabic" w:hint="cs"/>
          <w:rtl/>
        </w:rPr>
        <w:t>%.</w:t>
      </w:r>
      <w:r w:rsidR="00B55C12" w:rsidRPr="00227340">
        <w:rPr>
          <w:rFonts w:ascii="Simplified Arabic" w:hAnsi="Simplified Arabic" w:cs="Simplified Arabic" w:hint="cs"/>
          <w:rtl/>
        </w:rPr>
        <w:t xml:space="preserve"> </w:t>
      </w:r>
    </w:p>
    <w:p w:rsidR="00B07BD1" w:rsidRPr="00227340" w:rsidRDefault="00B07BD1" w:rsidP="007B7D56">
      <w:pPr>
        <w:jc w:val="both"/>
        <w:rPr>
          <w:rFonts w:cs="Simplified Arabic"/>
          <w:rtl/>
          <w:lang w:val="fr-CH"/>
        </w:rPr>
      </w:pPr>
    </w:p>
    <w:p w:rsidR="00B95C94" w:rsidRPr="00227340" w:rsidRDefault="00B07BD1" w:rsidP="00B95C94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b/>
          <w:bCs/>
          <w:rtl/>
        </w:rPr>
        <w:t>القطاع الخارجي</w:t>
      </w:r>
      <w:r w:rsidRPr="00227340">
        <w:rPr>
          <w:rFonts w:ascii="Simplified Arabic" w:hAnsi="Simplified Arabic" w:cs="Simplified Arabic" w:hint="cs"/>
          <w:rtl/>
        </w:rPr>
        <w:t>:</w:t>
      </w:r>
    </w:p>
    <w:p w:rsidR="00B07BD1" w:rsidRPr="00227340" w:rsidRDefault="00B07BD1" w:rsidP="00F23D1A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  <w:r w:rsidRPr="00227340">
        <w:rPr>
          <w:rFonts w:ascii="Simplified Arabic" w:hAnsi="Simplified Arabic" w:cs="Simplified Arabic" w:hint="cs"/>
          <w:rtl/>
        </w:rPr>
        <w:t xml:space="preserve">من المتوقع ارتفاع </w:t>
      </w:r>
      <w:r w:rsidR="001F59A8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العجز في صافي الحساب الجاري لفلسطين بنسبة </w:t>
      </w:r>
      <w:r w:rsidR="00F23D1A" w:rsidRPr="00227340">
        <w:rPr>
          <w:rFonts w:ascii="Simplified Arabic" w:hAnsi="Simplified Arabic" w:cs="Simplified Arabic" w:hint="cs"/>
          <w:rtl/>
        </w:rPr>
        <w:t>40</w:t>
      </w:r>
      <w:r w:rsidRPr="00227340">
        <w:rPr>
          <w:rFonts w:ascii="Simplified Arabic" w:hAnsi="Simplified Arabic" w:cs="Simplified Arabic" w:hint="cs"/>
          <w:rtl/>
        </w:rPr>
        <w:t>%،</w:t>
      </w:r>
      <w:r w:rsidR="00A60F83" w:rsidRPr="00227340">
        <w:rPr>
          <w:rFonts w:ascii="Simplified Arabic" w:hAnsi="Simplified Arabic" w:cs="Simplified Arabic" w:hint="cs"/>
          <w:rtl/>
        </w:rPr>
        <w:t xml:space="preserve"> وذلك نتيجة تراجع قيمة صافي الدخل بنسبة </w:t>
      </w:r>
      <w:r w:rsidR="00F23D1A" w:rsidRPr="00227340">
        <w:rPr>
          <w:rFonts w:ascii="Simplified Arabic" w:hAnsi="Simplified Arabic" w:cs="Simplified Arabic" w:hint="cs"/>
          <w:rtl/>
        </w:rPr>
        <w:t>9</w:t>
      </w:r>
      <w:r w:rsidR="00A60F83" w:rsidRPr="00227340">
        <w:rPr>
          <w:rFonts w:ascii="Simplified Arabic" w:hAnsi="Simplified Arabic" w:cs="Simplified Arabic" w:hint="cs"/>
          <w:rtl/>
        </w:rPr>
        <w:t xml:space="preserve">% بسبب انخفاض عدد العاملين في إسرائيل نتيجة زيادة المعيقات المفروضة داخل فلسطين، وكذلك نتيجة انخفاض صافي التحويلات الجارية بنسبة </w:t>
      </w:r>
      <w:r w:rsidR="00F23D1A" w:rsidRPr="00227340">
        <w:rPr>
          <w:rFonts w:ascii="Simplified Arabic" w:hAnsi="Simplified Arabic" w:cs="Simplified Arabic" w:hint="cs"/>
          <w:rtl/>
        </w:rPr>
        <w:t>45</w:t>
      </w:r>
      <w:r w:rsidR="00A60F83" w:rsidRPr="00227340">
        <w:rPr>
          <w:rFonts w:ascii="Simplified Arabic" w:hAnsi="Simplified Arabic" w:cs="Simplified Arabic" w:hint="cs"/>
          <w:rtl/>
        </w:rPr>
        <w:t xml:space="preserve">%.  </w:t>
      </w:r>
      <w:r w:rsidR="00C82A3D" w:rsidRPr="00227340">
        <w:rPr>
          <w:rFonts w:ascii="Simplified Arabic" w:hAnsi="Simplified Arabic" w:cs="Simplified Arabic" w:hint="cs"/>
          <w:rtl/>
        </w:rPr>
        <w:t>بالرغم من انخفاض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1F59A8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العجز في الميزان التجاري بنسبة </w:t>
      </w:r>
      <w:r w:rsidR="00C82A3D" w:rsidRPr="00227340">
        <w:rPr>
          <w:rFonts w:ascii="Simplified Arabic" w:hAnsi="Simplified Arabic" w:cs="Simplified Arabic" w:hint="cs"/>
          <w:rtl/>
        </w:rPr>
        <w:t>5</w:t>
      </w:r>
      <w:r w:rsidRPr="00227340">
        <w:rPr>
          <w:rFonts w:ascii="Simplified Arabic" w:hAnsi="Simplified Arabic" w:cs="Simplified Arabic" w:hint="cs"/>
          <w:rtl/>
        </w:rPr>
        <w:t xml:space="preserve">% </w:t>
      </w:r>
      <w:r w:rsidR="00C82A3D" w:rsidRPr="00227340">
        <w:rPr>
          <w:rFonts w:ascii="Simplified Arabic" w:hAnsi="Simplified Arabic" w:cs="Simplified Arabic" w:hint="cs"/>
          <w:rtl/>
        </w:rPr>
        <w:t>بسبب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C82A3D" w:rsidRPr="00227340">
        <w:rPr>
          <w:rFonts w:ascii="Simplified Arabic" w:hAnsi="Simplified Arabic" w:cs="Simplified Arabic" w:hint="cs"/>
          <w:rtl/>
        </w:rPr>
        <w:t>الانخفاض المتوقع</w:t>
      </w:r>
      <w:r w:rsidR="00B351F3" w:rsidRPr="00227340">
        <w:rPr>
          <w:rFonts w:ascii="Simplified Arabic" w:hAnsi="Simplified Arabic" w:cs="Simplified Arabic" w:hint="cs"/>
          <w:rtl/>
        </w:rPr>
        <w:t xml:space="preserve"> في </w:t>
      </w:r>
      <w:r w:rsidR="0078378D" w:rsidRPr="00227340">
        <w:rPr>
          <w:rFonts w:ascii="Simplified Arabic" w:hAnsi="Simplified Arabic" w:cs="Simplified Arabic" w:hint="cs"/>
          <w:rtl/>
        </w:rPr>
        <w:t>قيمة</w:t>
      </w:r>
      <w:r w:rsidRPr="00227340">
        <w:rPr>
          <w:rFonts w:ascii="Simplified Arabic" w:hAnsi="Simplified Arabic" w:cs="Simplified Arabic" w:hint="cs"/>
          <w:rtl/>
        </w:rPr>
        <w:t xml:space="preserve"> الواردات بنسبة </w:t>
      </w:r>
      <w:r w:rsidR="00F23D1A" w:rsidRPr="00227340">
        <w:rPr>
          <w:rFonts w:ascii="Simplified Arabic" w:hAnsi="Simplified Arabic" w:cs="Simplified Arabic" w:hint="cs"/>
          <w:rtl/>
        </w:rPr>
        <w:t>7</w:t>
      </w:r>
      <w:r w:rsidRPr="00227340">
        <w:rPr>
          <w:rFonts w:ascii="Simplified Arabic" w:hAnsi="Simplified Arabic" w:cs="Simplified Arabic" w:hint="cs"/>
          <w:rtl/>
        </w:rPr>
        <w:t>%</w:t>
      </w:r>
      <w:r w:rsidR="004D2193" w:rsidRPr="00227340">
        <w:rPr>
          <w:rFonts w:ascii="Simplified Arabic" w:hAnsi="Simplified Arabic" w:cs="Simplified Arabic" w:hint="cs"/>
          <w:rtl/>
        </w:rPr>
        <w:t>،</w:t>
      </w:r>
      <w:r w:rsidRPr="00227340">
        <w:rPr>
          <w:rFonts w:ascii="Simplified Arabic" w:hAnsi="Simplified Arabic" w:cs="Simplified Arabic" w:hint="cs"/>
          <w:rtl/>
        </w:rPr>
        <w:t xml:space="preserve"> </w:t>
      </w:r>
      <w:r w:rsidR="000111FB" w:rsidRPr="00227340">
        <w:rPr>
          <w:rFonts w:ascii="Simplified Arabic" w:hAnsi="Simplified Arabic" w:cs="Simplified Arabic" w:hint="cs"/>
          <w:rtl/>
        </w:rPr>
        <w:t xml:space="preserve">وانخفاض </w:t>
      </w:r>
      <w:r w:rsidR="001F59A8" w:rsidRPr="00227340">
        <w:rPr>
          <w:rFonts w:ascii="Simplified Arabic" w:hAnsi="Simplified Arabic" w:cs="Simplified Arabic" w:hint="cs"/>
          <w:rtl/>
        </w:rPr>
        <w:t xml:space="preserve">قيمة </w:t>
      </w:r>
      <w:r w:rsidR="00C82A3D" w:rsidRPr="00227340">
        <w:rPr>
          <w:rFonts w:ascii="Simplified Arabic" w:hAnsi="Simplified Arabic" w:cs="Simplified Arabic" w:hint="cs"/>
          <w:rtl/>
        </w:rPr>
        <w:t>الصادرات</w:t>
      </w:r>
      <w:r w:rsidRPr="00227340">
        <w:rPr>
          <w:rFonts w:ascii="Simplified Arabic" w:hAnsi="Simplified Arabic" w:cs="Simplified Arabic" w:hint="cs"/>
          <w:rtl/>
        </w:rPr>
        <w:t xml:space="preserve"> بنسبة </w:t>
      </w:r>
      <w:r w:rsidR="00C82A3D" w:rsidRPr="00227340">
        <w:rPr>
          <w:rFonts w:ascii="Simplified Arabic" w:hAnsi="Simplified Arabic" w:cs="Simplified Arabic" w:hint="cs"/>
          <w:rtl/>
        </w:rPr>
        <w:t>9</w:t>
      </w:r>
      <w:r w:rsidR="00A60F83" w:rsidRPr="00227340">
        <w:rPr>
          <w:rFonts w:ascii="Simplified Arabic" w:hAnsi="Simplified Arabic" w:cs="Simplified Arabic" w:hint="cs"/>
          <w:rtl/>
        </w:rPr>
        <w:t xml:space="preserve">%.  </w:t>
      </w:r>
      <w:r w:rsidR="001F59A8" w:rsidRPr="00227340">
        <w:rPr>
          <w:rFonts w:ascii="Simplified Arabic" w:hAnsi="Simplified Arabic" w:cs="Simplified Arabic" w:hint="cs"/>
          <w:rtl/>
        </w:rPr>
        <w:t>كما يتوقع أن ت</w:t>
      </w:r>
      <w:r w:rsidRPr="00227340">
        <w:rPr>
          <w:rFonts w:ascii="Simplified Arabic" w:hAnsi="Simplified Arabic" w:cs="Simplified Arabic" w:hint="cs"/>
          <w:rtl/>
        </w:rPr>
        <w:t xml:space="preserve">نخفض </w:t>
      </w:r>
      <w:r w:rsidR="001F59A8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الدخل القومي </w:t>
      </w:r>
      <w:r w:rsidR="00583BB3" w:rsidRPr="00227340">
        <w:rPr>
          <w:rFonts w:ascii="Simplified Arabic" w:hAnsi="Simplified Arabic" w:cs="Simplified Arabic" w:hint="cs"/>
          <w:rtl/>
        </w:rPr>
        <w:t>الاجمالي</w:t>
      </w:r>
      <w:r w:rsidRPr="00227340">
        <w:rPr>
          <w:rFonts w:ascii="Simplified Arabic" w:hAnsi="Simplified Arabic" w:cs="Simplified Arabic" w:hint="cs"/>
          <w:rtl/>
        </w:rPr>
        <w:t xml:space="preserve"> بنسبة </w:t>
      </w:r>
      <w:r w:rsidR="00F23D1A" w:rsidRPr="00227340">
        <w:rPr>
          <w:rFonts w:ascii="Simplified Arabic" w:hAnsi="Simplified Arabic" w:cs="Simplified Arabic" w:hint="cs"/>
          <w:rtl/>
        </w:rPr>
        <w:t>3</w:t>
      </w:r>
      <w:r w:rsidRPr="00227340">
        <w:rPr>
          <w:rFonts w:ascii="Simplified Arabic" w:hAnsi="Simplified Arabic" w:cs="Simplified Arabic" w:hint="cs"/>
          <w:rtl/>
        </w:rPr>
        <w:t xml:space="preserve">%، وأن </w:t>
      </w:r>
      <w:r w:rsidR="001F59A8" w:rsidRPr="00227340">
        <w:rPr>
          <w:rFonts w:ascii="Simplified Arabic" w:hAnsi="Simplified Arabic" w:cs="Simplified Arabic" w:hint="cs"/>
          <w:rtl/>
        </w:rPr>
        <w:t>ت</w:t>
      </w:r>
      <w:r w:rsidRPr="00227340">
        <w:rPr>
          <w:rFonts w:ascii="Simplified Arabic" w:hAnsi="Simplified Arabic" w:cs="Simplified Arabic" w:hint="cs"/>
          <w:rtl/>
        </w:rPr>
        <w:t xml:space="preserve">نخفض </w:t>
      </w:r>
      <w:r w:rsidR="001F59A8" w:rsidRPr="00227340">
        <w:rPr>
          <w:rFonts w:ascii="Simplified Arabic" w:hAnsi="Simplified Arabic" w:cs="Simplified Arabic" w:hint="cs"/>
          <w:rtl/>
        </w:rPr>
        <w:t xml:space="preserve">قيمة </w:t>
      </w:r>
      <w:r w:rsidRPr="00227340">
        <w:rPr>
          <w:rFonts w:ascii="Simplified Arabic" w:hAnsi="Simplified Arabic" w:cs="Simplified Arabic" w:hint="cs"/>
          <w:rtl/>
        </w:rPr>
        <w:t xml:space="preserve">الدخل القومي المتاح </w:t>
      </w:r>
      <w:r w:rsidR="00583BB3" w:rsidRPr="00227340">
        <w:rPr>
          <w:rFonts w:ascii="Simplified Arabic" w:hAnsi="Simplified Arabic" w:cs="Simplified Arabic" w:hint="cs"/>
          <w:rtl/>
        </w:rPr>
        <w:t xml:space="preserve">الاجمالي </w:t>
      </w:r>
      <w:r w:rsidRPr="00227340">
        <w:rPr>
          <w:rFonts w:ascii="Simplified Arabic" w:hAnsi="Simplified Arabic" w:cs="Simplified Arabic" w:hint="cs"/>
          <w:rtl/>
        </w:rPr>
        <w:t xml:space="preserve">بنسبة </w:t>
      </w:r>
      <w:r w:rsidR="00A60F83" w:rsidRPr="00227340">
        <w:rPr>
          <w:rFonts w:ascii="Simplified Arabic" w:hAnsi="Simplified Arabic" w:cs="Simplified Arabic" w:hint="cs"/>
          <w:rtl/>
        </w:rPr>
        <w:t>7</w:t>
      </w:r>
      <w:r w:rsidRPr="00227340">
        <w:rPr>
          <w:rFonts w:ascii="Simplified Arabic" w:hAnsi="Simplified Arabic" w:cs="Simplified Arabic" w:hint="cs"/>
          <w:rtl/>
        </w:rPr>
        <w:t>%.</w:t>
      </w:r>
    </w:p>
    <w:p w:rsidR="00CC3C27" w:rsidRPr="00227340" w:rsidRDefault="00CC3C27" w:rsidP="00CC3C27">
      <w:pPr>
        <w:pStyle w:val="ListParagraph"/>
        <w:ind w:left="71"/>
        <w:jc w:val="both"/>
        <w:rPr>
          <w:rFonts w:cs="Simplified Arabic"/>
          <w:rtl/>
          <w:lang w:val="fr-CH"/>
        </w:rPr>
      </w:pPr>
    </w:p>
    <w:p w:rsidR="00CC3C27" w:rsidRPr="00227340" w:rsidRDefault="00CC3C27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</w:rPr>
      </w:pPr>
    </w:p>
    <w:p w:rsidR="007B5042" w:rsidRPr="00227340" w:rsidRDefault="007B5042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9676F0" w:rsidRPr="00227340" w:rsidRDefault="009676F0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9676F0" w:rsidRDefault="009676F0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0911A8" w:rsidRDefault="000911A8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0911A8" w:rsidRDefault="000911A8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0911A8" w:rsidRDefault="000911A8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0911A8" w:rsidRDefault="000911A8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0911A8" w:rsidRDefault="000911A8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0911A8" w:rsidRDefault="000911A8" w:rsidP="00CC3C27">
      <w:pPr>
        <w:pStyle w:val="ListParagraph"/>
        <w:ind w:left="71"/>
        <w:jc w:val="both"/>
        <w:rPr>
          <w:rFonts w:ascii="Simplified Arabic" w:hAnsi="Simplified Arabic" w:cs="Simplified Arabic"/>
          <w:b/>
          <w:bCs/>
          <w:rtl/>
        </w:rPr>
      </w:pPr>
    </w:p>
    <w:p w:rsidR="009676F0" w:rsidRDefault="009676F0" w:rsidP="009312E3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9312E3" w:rsidRPr="009312E3" w:rsidRDefault="009312E3" w:rsidP="009312E3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CC3C27" w:rsidRPr="00227340" w:rsidRDefault="00CC3C27" w:rsidP="00C71538">
      <w:pPr>
        <w:ind w:left="71"/>
        <w:jc w:val="center"/>
        <w:rPr>
          <w:rFonts w:asciiTheme="minorBidi" w:hAnsiTheme="minorBidi" w:cs="Simplified Arabic"/>
          <w:b/>
          <w:bCs/>
          <w:sz w:val="22"/>
          <w:szCs w:val="22"/>
          <w:rtl/>
        </w:rPr>
      </w:pPr>
      <w:r w:rsidRPr="00227340">
        <w:rPr>
          <w:rFonts w:asciiTheme="minorBidi" w:hAnsiTheme="minorBidi" w:cs="Simplified Arabic" w:hint="cs"/>
          <w:b/>
          <w:bCs/>
          <w:sz w:val="22"/>
          <w:szCs w:val="22"/>
          <w:rtl/>
        </w:rPr>
        <w:t>ا</w:t>
      </w:r>
      <w:r w:rsidRPr="00227340">
        <w:rPr>
          <w:rFonts w:asciiTheme="minorBidi" w:hAnsiTheme="minorBidi" w:cs="Simplified Arabic"/>
          <w:b/>
          <w:bCs/>
          <w:sz w:val="22"/>
          <w:szCs w:val="22"/>
          <w:rtl/>
        </w:rPr>
        <w:t xml:space="preserve">برز نتائج التنبؤات الاقتصادية حسب السيناريوهات المفترضة </w:t>
      </w:r>
      <w:r w:rsidR="007A1069" w:rsidRPr="00227340">
        <w:rPr>
          <w:rFonts w:asciiTheme="minorBidi" w:hAnsiTheme="minorBidi" w:cs="Simplified Arabic" w:hint="cs"/>
          <w:b/>
          <w:bCs/>
          <w:sz w:val="22"/>
          <w:szCs w:val="22"/>
          <w:rtl/>
        </w:rPr>
        <w:t xml:space="preserve">في فلسطين </w:t>
      </w:r>
      <w:r w:rsidRPr="00227340">
        <w:rPr>
          <w:rFonts w:asciiTheme="minorBidi" w:hAnsiTheme="minorBidi" w:cs="Simplified Arabic" w:hint="cs"/>
          <w:b/>
          <w:bCs/>
          <w:sz w:val="22"/>
          <w:szCs w:val="22"/>
          <w:rtl/>
        </w:rPr>
        <w:t xml:space="preserve">لعام </w:t>
      </w:r>
      <w:r w:rsidR="00C71538" w:rsidRPr="00227340">
        <w:rPr>
          <w:rFonts w:asciiTheme="minorBidi" w:hAnsiTheme="minorBidi" w:cs="Simplified Arabic" w:hint="cs"/>
          <w:b/>
          <w:bCs/>
          <w:sz w:val="22"/>
          <w:szCs w:val="22"/>
          <w:rtl/>
        </w:rPr>
        <w:t>2019</w:t>
      </w:r>
      <w:r w:rsidR="00F044F0" w:rsidRPr="00227340">
        <w:rPr>
          <w:rFonts w:asciiTheme="minorBidi" w:hAnsiTheme="minorBidi" w:cs="Simplified Arabic" w:hint="cs"/>
          <w:b/>
          <w:bCs/>
          <w:sz w:val="22"/>
          <w:szCs w:val="22"/>
          <w:rtl/>
        </w:rPr>
        <w:t>*</w:t>
      </w:r>
    </w:p>
    <w:tbl>
      <w:tblPr>
        <w:tblStyle w:val="TableGrid"/>
        <w:bidiVisual/>
        <w:tblW w:w="5198" w:type="pct"/>
        <w:jc w:val="center"/>
        <w:tblInd w:w="51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1"/>
        <w:gridCol w:w="1124"/>
        <w:gridCol w:w="1124"/>
        <w:gridCol w:w="1124"/>
        <w:gridCol w:w="1124"/>
        <w:gridCol w:w="1128"/>
      </w:tblGrid>
      <w:tr w:rsidR="005A0CE4" w:rsidRPr="00227340" w:rsidTr="00C50536">
        <w:trPr>
          <w:jc w:val="center"/>
        </w:trPr>
        <w:tc>
          <w:tcPr>
            <w:tcW w:w="2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538" w:rsidRPr="00227340" w:rsidRDefault="00C71538" w:rsidP="00BB2DA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7340">
              <w:rPr>
                <w:b/>
                <w:bCs/>
                <w:sz w:val="18"/>
                <w:szCs w:val="18"/>
                <w:rtl/>
              </w:rPr>
              <w:t>أهم المؤشرات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538" w:rsidRPr="00227340" w:rsidRDefault="00A40A59" w:rsidP="00C71538">
            <w:pPr>
              <w:tabs>
                <w:tab w:val="center" w:pos="465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7340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538" w:rsidRPr="00227340" w:rsidRDefault="00C71538" w:rsidP="00C7153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7340">
              <w:rPr>
                <w:b/>
                <w:bCs/>
                <w:sz w:val="18"/>
                <w:szCs w:val="18"/>
                <w:rtl/>
              </w:rPr>
              <w:t>تقديرات</w:t>
            </w:r>
          </w:p>
          <w:p w:rsidR="00C71538" w:rsidRPr="00227340" w:rsidRDefault="00C71538" w:rsidP="00A40A5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hint="cs"/>
                <w:b/>
                <w:bCs/>
                <w:sz w:val="18"/>
                <w:szCs w:val="18"/>
                <w:rtl/>
              </w:rPr>
              <w:t>أ</w:t>
            </w:r>
            <w:r w:rsidRPr="00227340">
              <w:rPr>
                <w:b/>
                <w:bCs/>
                <w:sz w:val="18"/>
                <w:szCs w:val="18"/>
                <w:rtl/>
              </w:rPr>
              <w:t xml:space="preserve">ولية </w:t>
            </w:r>
            <w:r w:rsidR="00A40A59" w:rsidRPr="00227340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538" w:rsidRPr="00227340" w:rsidRDefault="00C71538" w:rsidP="00A40A5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7340">
              <w:rPr>
                <w:b/>
                <w:bCs/>
                <w:sz w:val="18"/>
                <w:szCs w:val="18"/>
                <w:rtl/>
              </w:rPr>
              <w:t>سيناريو</w:t>
            </w:r>
            <w:r w:rsidRPr="00227340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27340">
              <w:rPr>
                <w:b/>
                <w:bCs/>
                <w:sz w:val="18"/>
                <w:szCs w:val="18"/>
                <w:rtl/>
              </w:rPr>
              <w:t xml:space="preserve">الاساس </w:t>
            </w:r>
            <w:r w:rsidR="00A40A59" w:rsidRPr="00227340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538" w:rsidRPr="00227340" w:rsidRDefault="00C71538" w:rsidP="00A40A5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7340">
              <w:rPr>
                <w:b/>
                <w:bCs/>
                <w:sz w:val="18"/>
                <w:szCs w:val="18"/>
                <w:rtl/>
              </w:rPr>
              <w:t xml:space="preserve">السيناريو المتفائل </w:t>
            </w:r>
            <w:r w:rsidR="00A40A59" w:rsidRPr="00227340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538" w:rsidRPr="00227340" w:rsidRDefault="00C71538" w:rsidP="009312E3">
            <w:pPr>
              <w:ind w:right="157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7340">
              <w:rPr>
                <w:b/>
                <w:bCs/>
                <w:sz w:val="18"/>
                <w:szCs w:val="18"/>
                <w:rtl/>
              </w:rPr>
              <w:t xml:space="preserve">السيناريو المتشائم </w:t>
            </w:r>
            <w:r w:rsidR="00A40A59" w:rsidRPr="00227340">
              <w:rPr>
                <w:b/>
                <w:bCs/>
                <w:sz w:val="18"/>
                <w:szCs w:val="18"/>
              </w:rPr>
              <w:t>2019</w:t>
            </w:r>
          </w:p>
        </w:tc>
      </w:tr>
      <w:tr w:rsidR="00C71538" w:rsidRPr="00227340" w:rsidTr="00C50536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538" w:rsidRPr="00227340" w:rsidRDefault="00C71538" w:rsidP="00C71538">
            <w:pPr>
              <w:ind w:left="207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A40A59" w:rsidRPr="00227340" w:rsidRDefault="00A40A59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الناتج المحلي الإجمالي (مليون دولار أمريكي)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40A59" w:rsidRPr="00227340" w:rsidRDefault="00A40A59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13,686.4</w:t>
            </w:r>
          </w:p>
        </w:tc>
        <w:tc>
          <w:tcPr>
            <w:tcW w:w="5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40A59" w:rsidRPr="00227340" w:rsidRDefault="00A40A59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13,776.3</w:t>
            </w:r>
          </w:p>
        </w:tc>
        <w:tc>
          <w:tcPr>
            <w:tcW w:w="5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40A59" w:rsidRPr="00227340" w:rsidRDefault="00A40A59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13,840.3</w:t>
            </w:r>
          </w:p>
        </w:tc>
        <w:tc>
          <w:tcPr>
            <w:tcW w:w="5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40A59" w:rsidRPr="00227340" w:rsidRDefault="00A40A59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14,401.4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0A59" w:rsidRPr="00227340" w:rsidRDefault="00A40A59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13,396.4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9B3C80" w:rsidRPr="00227340" w:rsidRDefault="009B3C80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نصيب الفرد من الناتج المحلي الإجمالي ( دولار أمريكي) 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3,072.4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3,027.6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2,979.2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3,100.0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2,883.7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9B3C80" w:rsidRPr="00227340" w:rsidRDefault="009B3C80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الدخل القومي الاجمالي (مليون دولار أمريكي)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15,283.5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15,366.9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15,447.6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16,283.0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14,839.9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9B3C80" w:rsidRPr="00227340" w:rsidRDefault="009B3C80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الدخل القومي المتاح الاجمالي (مليون دولار أمريكي) 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16,973.3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16,987.1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16,946.6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18,081.8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C80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15,739.3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>معدل الأجر اليومي الحقيقي ( دولار أمريكي)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1538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1538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1538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1538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B3C80" w:rsidP="009B3C8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>معدل البطالة (%)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1538" w:rsidRPr="00227340" w:rsidRDefault="0088179F" w:rsidP="0088179F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1538" w:rsidRPr="00227340" w:rsidRDefault="00954078" w:rsidP="0088179F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1538" w:rsidRPr="00227340" w:rsidRDefault="00954078" w:rsidP="0088179F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71538" w:rsidRPr="00227340" w:rsidRDefault="00954078" w:rsidP="0088179F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54078" w:rsidP="0088179F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</w:tr>
      <w:tr w:rsidR="00C71538" w:rsidRPr="00227340" w:rsidTr="00C50536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538" w:rsidRPr="00227340" w:rsidRDefault="00C71538" w:rsidP="00C71538">
            <w:pPr>
              <w:ind w:left="207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hint="cs"/>
                <w:b/>
                <w:bCs/>
                <w:sz w:val="18"/>
                <w:szCs w:val="18"/>
                <w:rtl/>
              </w:rPr>
              <w:t>نسبة التغير (%)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الناتج المحلي الإجمالي 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FA2F47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-2.8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</w:t>
            </w:r>
            <w:r w:rsidRPr="00227340">
              <w:rPr>
                <w:rFonts w:cs="Simplified Arabic"/>
                <w:b/>
                <w:bCs/>
                <w:sz w:val="18"/>
                <w:szCs w:val="18"/>
                <w:rtl/>
              </w:rPr>
              <w:t>الإنفاق الاستهلاكي النهائي</w:t>
            </w: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8E6A69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-1.4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-1.2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-1.0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-3.4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</w:t>
            </w:r>
            <w:r w:rsidRPr="00227340">
              <w:rPr>
                <w:rFonts w:cs="Simplified Arabic"/>
                <w:b/>
                <w:bCs/>
                <w:sz w:val="18"/>
                <w:szCs w:val="18"/>
                <w:rtl/>
              </w:rPr>
              <w:t>التكوين الرأسمالي الإجمالي</w:t>
            </w: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8E6A69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-3.5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الميزان التجاري </w:t>
            </w:r>
            <w:r w:rsidRPr="00227340">
              <w:rPr>
                <w:rFonts w:cs="Simplified Arabic"/>
                <w:b/>
                <w:bCs/>
                <w:sz w:val="18"/>
                <w:szCs w:val="18"/>
              </w:rPr>
              <w:t>)</w:t>
            </w: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عجز)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8E6A69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-6.9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-0.9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-1.3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-0.4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-5.2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إجمالي الصادرات 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8E6A69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-9.0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إجمالي الواردات </w:t>
            </w:r>
          </w:p>
        </w:tc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8E6A69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5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097863" w:rsidP="00097863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-6.6</w:t>
            </w:r>
          </w:p>
        </w:tc>
      </w:tr>
      <w:tr w:rsidR="00C71538" w:rsidRPr="00227340" w:rsidTr="00C50536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1538" w:rsidRPr="00227340" w:rsidRDefault="00C71538" w:rsidP="00C71538">
            <w:pPr>
              <w:ind w:left="207"/>
              <w:jc w:val="center"/>
              <w:rPr>
                <w:b/>
                <w:bCs/>
                <w:sz w:val="18"/>
                <w:szCs w:val="18"/>
              </w:rPr>
            </w:pPr>
            <w:r w:rsidRPr="00227340">
              <w:rPr>
                <w:rFonts w:hint="cs"/>
                <w:b/>
                <w:bCs/>
                <w:sz w:val="18"/>
                <w:szCs w:val="18"/>
                <w:rtl/>
              </w:rPr>
              <w:t>النسبة من الناتج المحلي الاجمالي (%)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</w:t>
            </w:r>
            <w:r w:rsidRPr="00227340">
              <w:rPr>
                <w:rFonts w:cs="Simplified Arabic"/>
                <w:b/>
                <w:bCs/>
                <w:sz w:val="18"/>
                <w:szCs w:val="18"/>
                <w:rtl/>
              </w:rPr>
              <w:t>الإنفاق الاستهلاكي النهائي</w:t>
            </w: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من الناتج المحلي الاجمالي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D806E7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110.</w:t>
            </w:r>
            <w:r w:rsidR="00D806E7" w:rsidRPr="002273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D806E7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D806E7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106.</w:t>
            </w:r>
            <w:r w:rsidR="00D806E7" w:rsidRPr="002273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</w:t>
            </w:r>
            <w:r w:rsidRPr="00227340">
              <w:rPr>
                <w:rFonts w:cs="Simplified Arabic"/>
                <w:b/>
                <w:bCs/>
                <w:sz w:val="18"/>
                <w:szCs w:val="18"/>
                <w:rtl/>
              </w:rPr>
              <w:t>التكوين الرأسمالي الإجمالي</w:t>
            </w: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من الناتج المحلي الاجمالي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>نسبة الميزان التجاري من الناتج المحلي الاجمالي (عجز)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-35.2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D806E7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-34.</w:t>
            </w:r>
            <w:r w:rsidR="00D806E7" w:rsidRPr="002273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D806E7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-34.</w:t>
            </w:r>
            <w:r w:rsidR="00D806E7" w:rsidRPr="002273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-33.0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-33.8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>نسبة إجمالي الصادرات من الناتج المحلي الاجمالي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C71538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>نسبة إجمالي الواردات من الناتج المحلي الاجمالي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9001F2" w:rsidP="009001F2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24645D" w:rsidP="0024645D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المساهمة النسبية ل</w:t>
            </w:r>
            <w:r w:rsidR="00C71538"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لقيمة المضافة لنشاط الزراعة من الناتج المحلي الاجمالي 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81105A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7E21F7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24645D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المساهمة النسبية للقيمة المضافة </w:t>
            </w:r>
            <w:r w:rsidR="00C71538"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لنشاط الصناعة من الناتج المحلي الاجمالي 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81105A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7E21F7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24645D" w:rsidP="007F20CB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المساهمة النسبية للقيمة المضافة </w:t>
            </w:r>
            <w:r w:rsidR="00C71538" w:rsidRPr="00227340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لنشاط الانشاءات من الناتج المحلي الاجمالي </w:t>
            </w:r>
          </w:p>
        </w:tc>
        <w:tc>
          <w:tcPr>
            <w:tcW w:w="506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81105A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7E21F7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</w:tr>
      <w:tr w:rsidR="005A0CE4" w:rsidRPr="00227340" w:rsidTr="00C50536">
        <w:trPr>
          <w:jc w:val="center"/>
        </w:trPr>
        <w:tc>
          <w:tcPr>
            <w:tcW w:w="24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71538" w:rsidRPr="00227340" w:rsidRDefault="0024645D" w:rsidP="005A0CE4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22734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المساهمة النسبية للقيمة المضافة </w:t>
            </w:r>
            <w:r w:rsidR="005A0CE4" w:rsidRPr="0022734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لأنشطة</w:t>
            </w:r>
            <w:r w:rsidRPr="0022734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="00C71538" w:rsidRPr="0022734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الخدمات </w:t>
            </w:r>
            <w:r w:rsidR="005A0CE4" w:rsidRPr="0022734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والفروع الاخرى من الناتج المحلي</w:t>
            </w:r>
            <w:r w:rsidR="005A0CE4" w:rsidRPr="0022734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ا</w:t>
            </w:r>
            <w:r w:rsidR="00C71538" w:rsidRPr="0022734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لاجمالي </w:t>
            </w:r>
          </w:p>
        </w:tc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81105A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7E21F7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5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1538" w:rsidRPr="00227340" w:rsidRDefault="00D71420" w:rsidP="00D71420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340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</w:tr>
    </w:tbl>
    <w:p w:rsidR="00F044F0" w:rsidRPr="00227340" w:rsidRDefault="00F044F0" w:rsidP="003821B9">
      <w:pPr>
        <w:ind w:hanging="853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F044F0" w:rsidRPr="00227340" w:rsidRDefault="007479ED" w:rsidP="009312E3">
      <w:pPr>
        <w:ind w:left="-591" w:right="-993"/>
        <w:jc w:val="both"/>
        <w:rPr>
          <w:rFonts w:ascii="Simplified Arabic" w:hAnsi="Simplified Arabic" w:cs="Simplified Arabic"/>
          <w:sz w:val="20"/>
          <w:szCs w:val="20"/>
        </w:rPr>
      </w:pPr>
      <w:r w:rsidRPr="00227340">
        <w:rPr>
          <w:rFonts w:ascii="Simplified Arabic" w:hAnsi="Simplified Arabic" w:cs="Simplified Arabic" w:hint="cs"/>
          <w:sz w:val="20"/>
          <w:szCs w:val="20"/>
          <w:rtl/>
        </w:rPr>
        <w:t>(</w:t>
      </w:r>
      <w:r w:rsidR="00F044F0" w:rsidRPr="00227340">
        <w:rPr>
          <w:rFonts w:ascii="Simplified Arabic" w:hAnsi="Simplified Arabic" w:cs="Simplified Arabic" w:hint="cs"/>
          <w:sz w:val="20"/>
          <w:szCs w:val="20"/>
          <w:rtl/>
        </w:rPr>
        <w:t>*</w:t>
      </w:r>
      <w:r w:rsidRPr="00227340">
        <w:rPr>
          <w:rFonts w:ascii="Simplified Arabic" w:hAnsi="Simplified Arabic" w:cs="Simplified Arabic" w:hint="cs"/>
          <w:sz w:val="20"/>
          <w:szCs w:val="20"/>
          <w:rtl/>
        </w:rPr>
        <w:t>)</w:t>
      </w:r>
      <w:r w:rsidR="00F044F0" w:rsidRPr="00227340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="006A06A5" w:rsidRPr="00227340">
        <w:rPr>
          <w:rFonts w:ascii="Simplified Arabic" w:hAnsi="Simplified Arabic" w:cs="Simplified Arabic" w:hint="cs"/>
          <w:sz w:val="20"/>
          <w:szCs w:val="20"/>
          <w:rtl/>
        </w:rPr>
        <w:t xml:space="preserve">البيانات بالأسعار الثابتة، وسنة الأساس </w:t>
      </w:r>
      <w:r w:rsidR="00C93638" w:rsidRPr="00227340">
        <w:rPr>
          <w:rFonts w:ascii="Simplified Arabic" w:hAnsi="Simplified Arabic" w:cs="Simplified Arabic" w:hint="cs"/>
          <w:sz w:val="20"/>
          <w:szCs w:val="20"/>
          <w:rtl/>
        </w:rPr>
        <w:t>2015</w:t>
      </w:r>
      <w:r w:rsidR="004635B3" w:rsidRPr="00227340">
        <w:rPr>
          <w:rFonts w:ascii="Simplified Arabic" w:hAnsi="Simplified Arabic" w:cs="Simplified Arabic" w:hint="cs"/>
          <w:sz w:val="20"/>
          <w:szCs w:val="20"/>
          <w:rtl/>
        </w:rPr>
        <w:t>،</w:t>
      </w:r>
      <w:r w:rsidR="004E58E9" w:rsidRPr="00227340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="004E58E9" w:rsidRPr="00227340">
        <w:rPr>
          <w:rFonts w:ascii="Simplified Arabic" w:hAnsi="Simplified Arabic" w:cs="Simplified Arabic"/>
          <w:sz w:val="20"/>
          <w:szCs w:val="20"/>
          <w:rtl/>
        </w:rPr>
        <w:t xml:space="preserve">كما أن البيانات </w:t>
      </w:r>
      <w:r w:rsidR="004E58E9" w:rsidRPr="00227340">
        <w:rPr>
          <w:rFonts w:ascii="Simplified Arabic" w:hAnsi="Simplified Arabic" w:cs="Simplified Arabic" w:hint="cs"/>
          <w:sz w:val="20"/>
          <w:szCs w:val="20"/>
          <w:rtl/>
        </w:rPr>
        <w:t>لا تشمل</w:t>
      </w:r>
      <w:r w:rsidR="004E58E9" w:rsidRPr="00227340">
        <w:rPr>
          <w:rFonts w:ascii="Simplified Arabic" w:hAnsi="Simplified Arabic" w:cs="Simplified Arabic"/>
          <w:sz w:val="20"/>
          <w:szCs w:val="20"/>
          <w:rtl/>
        </w:rPr>
        <w:t xml:space="preserve"> ذلك الجزء من محافظة القدس </w:t>
      </w:r>
      <w:r w:rsidR="004E58E9" w:rsidRPr="00227340">
        <w:rPr>
          <w:rFonts w:ascii="Simplified Arabic" w:hAnsi="Simplified Arabic" w:cs="Simplified Arabic" w:hint="cs"/>
          <w:sz w:val="20"/>
          <w:szCs w:val="20"/>
          <w:rtl/>
        </w:rPr>
        <w:t>و</w:t>
      </w:r>
      <w:r w:rsidR="004E58E9" w:rsidRPr="00227340">
        <w:rPr>
          <w:rFonts w:ascii="Simplified Arabic" w:hAnsi="Simplified Arabic" w:cs="Simplified Arabic"/>
          <w:sz w:val="20"/>
          <w:szCs w:val="20"/>
          <w:rtl/>
        </w:rPr>
        <w:t xml:space="preserve">الذي ضمه </w:t>
      </w:r>
      <w:r w:rsidR="004E58E9" w:rsidRPr="00227340">
        <w:rPr>
          <w:rFonts w:ascii="Simplified Arabic" w:hAnsi="Simplified Arabic" w:cs="Simplified Arabic" w:hint="cs"/>
          <w:sz w:val="20"/>
          <w:szCs w:val="20"/>
          <w:rtl/>
        </w:rPr>
        <w:t>الإحتلال الإ</w:t>
      </w:r>
      <w:r w:rsidR="004E58E9" w:rsidRPr="00227340">
        <w:rPr>
          <w:rFonts w:ascii="Simplified Arabic" w:hAnsi="Simplified Arabic" w:cs="Simplified Arabic"/>
          <w:sz w:val="20"/>
          <w:szCs w:val="20"/>
          <w:rtl/>
        </w:rPr>
        <w:t>سرائيل</w:t>
      </w:r>
      <w:r w:rsidR="004E58E9" w:rsidRPr="00227340">
        <w:rPr>
          <w:rFonts w:ascii="Simplified Arabic" w:hAnsi="Simplified Arabic" w:cs="Simplified Arabic" w:hint="cs"/>
          <w:sz w:val="20"/>
          <w:szCs w:val="20"/>
          <w:rtl/>
        </w:rPr>
        <w:t>ي</w:t>
      </w:r>
      <w:r w:rsidR="004E58E9" w:rsidRPr="00227340">
        <w:rPr>
          <w:rFonts w:ascii="Simplified Arabic" w:hAnsi="Simplified Arabic" w:cs="Simplified Arabic"/>
          <w:sz w:val="20"/>
          <w:szCs w:val="20"/>
          <w:rtl/>
        </w:rPr>
        <w:t xml:space="preserve"> عنوة بعيد احتلاله للضفة الغربية عام 1967</w:t>
      </w:r>
    </w:p>
    <w:p w:rsidR="00C93638" w:rsidRPr="00227340" w:rsidRDefault="00F044F0" w:rsidP="009312E3">
      <w:pPr>
        <w:ind w:left="-286" w:hanging="21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227340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ملاحظة:</w:t>
      </w:r>
    </w:p>
    <w:p w:rsidR="00C93638" w:rsidRPr="00227340" w:rsidRDefault="00C93638" w:rsidP="009312E3">
      <w:pPr>
        <w:ind w:left="-307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227340">
        <w:rPr>
          <w:rFonts w:ascii="Simplified Arabic" w:hAnsi="Simplified Arabic" w:cs="Simplified Arabic" w:hint="cs"/>
          <w:sz w:val="20"/>
          <w:szCs w:val="20"/>
          <w:rtl/>
        </w:rPr>
        <w:t xml:space="preserve">1- </w:t>
      </w:r>
      <w:r w:rsidR="006A06A5" w:rsidRPr="00227340">
        <w:rPr>
          <w:rFonts w:ascii="Simplified Arabic" w:hAnsi="Simplified Arabic" w:cs="Simplified Arabic"/>
          <w:sz w:val="20"/>
          <w:szCs w:val="20"/>
          <w:rtl/>
        </w:rPr>
        <w:t>الإنفاق الاستهلاكي النهائي</w:t>
      </w:r>
      <w:r w:rsidR="006A06A5" w:rsidRPr="00227340">
        <w:rPr>
          <w:rFonts w:ascii="Simplified Arabic" w:hAnsi="Simplified Arabic" w:cs="Simplified Arabic" w:hint="cs"/>
          <w:sz w:val="20"/>
          <w:szCs w:val="20"/>
          <w:rtl/>
        </w:rPr>
        <w:t xml:space="preserve"> يشمل صافي السهو والخطأ.</w:t>
      </w:r>
      <w:r w:rsidRPr="00227340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</w:p>
    <w:p w:rsidR="006A06A5" w:rsidRPr="00227340" w:rsidRDefault="005A2418" w:rsidP="009312E3">
      <w:pPr>
        <w:ind w:left="-166" w:right="-426" w:hanging="141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227340">
        <w:rPr>
          <w:rFonts w:ascii="Simplified Arabic" w:hAnsi="Simplified Arabic" w:cs="Simplified Arabic" w:hint="cs"/>
          <w:sz w:val="20"/>
          <w:szCs w:val="20"/>
          <w:rtl/>
        </w:rPr>
        <w:t>2- ن</w:t>
      </w:r>
      <w:r w:rsidR="006A06A5" w:rsidRPr="00227340">
        <w:rPr>
          <w:rFonts w:ascii="Simplified Arabic" w:hAnsi="Simplified Arabic" w:cs="Simplified Arabic" w:hint="cs"/>
          <w:sz w:val="20"/>
          <w:szCs w:val="20"/>
          <w:rtl/>
        </w:rPr>
        <w:t>شاط الخدمات والفروع الأخرى (يشمل نشاط الخدمات،</w:t>
      </w:r>
      <w:r w:rsidR="008C00A1" w:rsidRPr="00227340">
        <w:rPr>
          <w:rFonts w:ascii="Simplified Arabic" w:hAnsi="Simplified Arabic" w:cs="Simplified Arabic" w:hint="cs"/>
          <w:sz w:val="20"/>
          <w:szCs w:val="20"/>
          <w:rtl/>
        </w:rPr>
        <w:t xml:space="preserve"> اضافة إلى امدادات الكهرباء و</w:t>
      </w:r>
      <w:r w:rsidR="006A06A5" w:rsidRPr="00227340">
        <w:rPr>
          <w:rFonts w:ascii="Simplified Arabic" w:hAnsi="Simplified Arabic" w:cs="Simplified Arabic" w:hint="cs"/>
          <w:sz w:val="20"/>
          <w:szCs w:val="20"/>
          <w:rtl/>
        </w:rPr>
        <w:t>المياه، تجارة الجملة والتجزئة، النقل والتخزين، المالية والتأمين، المعلومات والإتصالات، الادارة الع</w:t>
      </w:r>
      <w:r w:rsidR="004E58E9" w:rsidRPr="00227340">
        <w:rPr>
          <w:rFonts w:ascii="Simplified Arabic" w:hAnsi="Simplified Arabic" w:cs="Simplified Arabic" w:hint="cs"/>
          <w:sz w:val="20"/>
          <w:szCs w:val="20"/>
          <w:rtl/>
        </w:rPr>
        <w:t>امة والدفاع، والخدمات المنزلية) باستثناء الرسوم الجمركية وصافي ضريبة القيمة المضافة على الواردات.</w:t>
      </w:r>
    </w:p>
    <w:sectPr w:rsidR="006A06A5" w:rsidRPr="00227340" w:rsidSect="007E226E">
      <w:footerReference w:type="even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BC" w:rsidRDefault="00687FBC">
      <w:r>
        <w:separator/>
      </w:r>
    </w:p>
  </w:endnote>
  <w:endnote w:type="continuationSeparator" w:id="0">
    <w:p w:rsidR="00687FBC" w:rsidRDefault="0068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AB" w:rsidRDefault="0030429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200A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200AB" w:rsidRDefault="008200AB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AB" w:rsidRDefault="0030429F">
    <w:pPr>
      <w:pStyle w:val="Footer"/>
      <w:framePr w:wrap="around" w:vAnchor="text" w:hAnchor="margin" w:xAlign="center" w:y="1"/>
      <w:jc w:val="center"/>
      <w:rPr>
        <w:rStyle w:val="PageNumber"/>
        <w:rtl/>
      </w:rPr>
    </w:pPr>
    <w:r>
      <w:rPr>
        <w:rStyle w:val="PageNumber"/>
        <w:rtl/>
      </w:rPr>
      <w:fldChar w:fldCharType="begin"/>
    </w:r>
    <w:r w:rsidR="008200A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50536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8200AB" w:rsidRDefault="008200AB">
    <w:pPr>
      <w:pStyle w:val="Footer"/>
      <w:framePr w:wrap="around" w:vAnchor="text" w:hAnchor="margin" w:xAlign="center" w:y="1"/>
      <w:rPr>
        <w:rStyle w:val="PageNumber"/>
        <w:rtl/>
      </w:rPr>
    </w:pPr>
  </w:p>
  <w:p w:rsidR="008200AB" w:rsidRDefault="008200AB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BC" w:rsidRDefault="00687FBC">
      <w:r>
        <w:separator/>
      </w:r>
    </w:p>
  </w:footnote>
  <w:footnote w:type="continuationSeparator" w:id="0">
    <w:p w:rsidR="00687FBC" w:rsidRDefault="00687FBC">
      <w:r>
        <w:continuationSeparator/>
      </w:r>
    </w:p>
  </w:footnote>
  <w:footnote w:id="1">
    <w:p w:rsidR="008200AB" w:rsidRPr="00720139" w:rsidRDefault="008200AB" w:rsidP="0053566F">
      <w:pPr>
        <w:pStyle w:val="FootnoteText"/>
        <w:rPr>
          <w:rFonts w:ascii="Simplified Arabic" w:hAnsi="Simplified Arabic" w:cs="Simplified Arabic"/>
        </w:rPr>
      </w:pPr>
      <w:r w:rsidRPr="00720139">
        <w:rPr>
          <w:rStyle w:val="FootnoteReference"/>
          <w:rFonts w:ascii="Simplified Arabic" w:hAnsi="Simplified Arabic"/>
          <w:color w:val="auto"/>
        </w:rPr>
        <w:footnoteRef/>
      </w:r>
      <w:r w:rsidRPr="00720139">
        <w:rPr>
          <w:rFonts w:ascii="Simplified Arabic" w:hAnsi="Simplified Arabic" w:cs="Simplified Arabic"/>
          <w:rtl/>
        </w:rPr>
        <w:t xml:space="preserve"> البيانات بالاسعار الثابتة، سنة الاساس </w:t>
      </w:r>
      <w:r w:rsidR="0053566F" w:rsidRPr="00720139">
        <w:rPr>
          <w:rFonts w:ascii="Simplified Arabic" w:hAnsi="Simplified Arabic" w:cs="Simplified Arabic"/>
        </w:rPr>
        <w:t>2015</w:t>
      </w:r>
      <w:r w:rsidRPr="00720139">
        <w:rPr>
          <w:rFonts w:ascii="Simplified Arabic" w:hAnsi="Simplified Arabic" w:cs="Simplified Arabic"/>
          <w:rtl/>
        </w:rPr>
        <w:t xml:space="preserve">، كما أن </w:t>
      </w:r>
      <w:r w:rsidRPr="00720139">
        <w:rPr>
          <w:rFonts w:ascii="Simplified Arabic" w:hAnsi="Simplified Arabic" w:cs="Simplified Arabic"/>
          <w:rtl/>
          <w:lang w:eastAsia="en-US"/>
        </w:rPr>
        <w:t xml:space="preserve">البيانات </w:t>
      </w:r>
      <w:r w:rsidR="0053566F" w:rsidRPr="00720139">
        <w:rPr>
          <w:rFonts w:ascii="Simplified Arabic" w:hAnsi="Simplified Arabic" w:cs="Simplified Arabic" w:hint="cs"/>
          <w:rtl/>
          <w:lang w:eastAsia="en-US"/>
        </w:rPr>
        <w:t>لا تشمل</w:t>
      </w:r>
      <w:r w:rsidRPr="00720139">
        <w:rPr>
          <w:rFonts w:ascii="Simplified Arabic" w:hAnsi="Simplified Arabic" w:cs="Simplified Arabic"/>
          <w:rtl/>
          <w:lang w:eastAsia="en-US"/>
        </w:rPr>
        <w:t xml:space="preserve"> ذلك الجزء من محافظة القدس </w:t>
      </w:r>
      <w:r w:rsidR="0053566F" w:rsidRPr="00720139">
        <w:rPr>
          <w:rFonts w:ascii="Simplified Arabic" w:hAnsi="Simplified Arabic" w:cs="Simplified Arabic" w:hint="cs"/>
          <w:rtl/>
          <w:lang w:eastAsia="en-US"/>
        </w:rPr>
        <w:t>و</w:t>
      </w:r>
      <w:r w:rsidR="0053566F" w:rsidRPr="00720139">
        <w:rPr>
          <w:rFonts w:ascii="Simplified Arabic" w:hAnsi="Simplified Arabic" w:cs="Simplified Arabic"/>
          <w:rtl/>
          <w:lang w:eastAsia="en-US"/>
        </w:rPr>
        <w:t>الذي ضم</w:t>
      </w:r>
      <w:r w:rsidRPr="00720139">
        <w:rPr>
          <w:rFonts w:ascii="Simplified Arabic" w:hAnsi="Simplified Arabic" w:cs="Simplified Arabic"/>
          <w:rtl/>
          <w:lang w:eastAsia="en-US"/>
        </w:rPr>
        <w:t xml:space="preserve">ه </w:t>
      </w:r>
      <w:r w:rsidR="0053566F" w:rsidRPr="00720139">
        <w:rPr>
          <w:rFonts w:ascii="Simplified Arabic" w:hAnsi="Simplified Arabic" w:cs="Simplified Arabic" w:hint="cs"/>
          <w:rtl/>
          <w:lang w:eastAsia="en-US"/>
        </w:rPr>
        <w:t>الإحتلال الإ</w:t>
      </w:r>
      <w:r w:rsidRPr="00720139">
        <w:rPr>
          <w:rFonts w:ascii="Simplified Arabic" w:hAnsi="Simplified Arabic" w:cs="Simplified Arabic"/>
          <w:rtl/>
          <w:lang w:eastAsia="en-US"/>
        </w:rPr>
        <w:t>سرائيل</w:t>
      </w:r>
      <w:r w:rsidR="0053566F" w:rsidRPr="00720139">
        <w:rPr>
          <w:rFonts w:ascii="Simplified Arabic" w:hAnsi="Simplified Arabic" w:cs="Simplified Arabic" w:hint="cs"/>
          <w:rtl/>
          <w:lang w:eastAsia="en-US"/>
        </w:rPr>
        <w:t>ي</w:t>
      </w:r>
      <w:r w:rsidR="0053566F" w:rsidRPr="00720139">
        <w:rPr>
          <w:rFonts w:ascii="Simplified Arabic" w:hAnsi="Simplified Arabic" w:cs="Simplified Arabic"/>
          <w:rtl/>
          <w:lang w:eastAsia="en-US"/>
        </w:rPr>
        <w:t xml:space="preserve"> عنوة بعيد احتلاله</w:t>
      </w:r>
      <w:r w:rsidRPr="00720139">
        <w:rPr>
          <w:rFonts w:ascii="Simplified Arabic" w:hAnsi="Simplified Arabic" w:cs="Simplified Arabic"/>
          <w:rtl/>
          <w:lang w:eastAsia="en-US"/>
        </w:rPr>
        <w:t xml:space="preserve"> للضفة الغربية عام 1967، و</w:t>
      </w:r>
      <w:r w:rsidRPr="00720139">
        <w:rPr>
          <w:rFonts w:ascii="Simplified Arabic" w:hAnsi="Simplified Arabic" w:cs="Simplified Arabic"/>
          <w:rtl/>
        </w:rPr>
        <w:t xml:space="preserve">بيانات عام </w:t>
      </w:r>
      <w:r w:rsidR="0053566F" w:rsidRPr="00720139">
        <w:rPr>
          <w:rFonts w:ascii="Simplified Arabic" w:hAnsi="Simplified Arabic" w:cs="Simplified Arabic" w:hint="cs"/>
          <w:rtl/>
        </w:rPr>
        <w:t>2018</w:t>
      </w:r>
      <w:r w:rsidRPr="00720139">
        <w:rPr>
          <w:rFonts w:ascii="Simplified Arabic" w:hAnsi="Simplified Arabic" w:cs="Simplified Arabic"/>
          <w:rtl/>
        </w:rPr>
        <w:t xml:space="preserve"> تعتمد على تقديرات أولية، وهي عرضة للتنقيح والتعديل.</w:t>
      </w:r>
    </w:p>
  </w:footnote>
  <w:footnote w:id="2">
    <w:p w:rsidR="008200AB" w:rsidRPr="00720139" w:rsidRDefault="008200AB" w:rsidP="00894E15">
      <w:pPr>
        <w:pStyle w:val="FootnoteText"/>
        <w:rPr>
          <w:rFonts w:ascii="Simplified Arabic" w:hAnsi="Simplified Arabic" w:cs="Simplified Arabic"/>
          <w:rtl/>
        </w:rPr>
      </w:pPr>
      <w:r w:rsidRPr="00720139">
        <w:rPr>
          <w:rStyle w:val="FootnoteReference"/>
          <w:rFonts w:ascii="Simplified Arabic" w:hAnsi="Simplified Arabic"/>
          <w:color w:val="auto"/>
        </w:rPr>
        <w:footnoteRef/>
      </w:r>
      <w:r w:rsidRPr="00720139">
        <w:rPr>
          <w:rFonts w:ascii="Simplified Arabic" w:hAnsi="Simplified Arabic" w:cs="Simplified Arabic"/>
          <w:rtl/>
        </w:rPr>
        <w:t xml:space="preserve"> البيانات تشمل </w:t>
      </w:r>
      <w:r w:rsidRPr="00720139">
        <w:rPr>
          <w:rFonts w:ascii="Simplified Arabic" w:hAnsi="Simplified Arabic" w:cs="Simplified Arabic" w:hint="cs"/>
          <w:rtl/>
        </w:rPr>
        <w:t xml:space="preserve">ذلك الجزء من محافظة القدس </w:t>
      </w:r>
      <w:r w:rsidR="00894E15" w:rsidRPr="00720139">
        <w:rPr>
          <w:rFonts w:ascii="Simplified Arabic" w:hAnsi="Simplified Arabic" w:cs="Simplified Arabic" w:hint="cs"/>
          <w:rtl/>
        </w:rPr>
        <w:t>والذي ضم</w:t>
      </w:r>
      <w:r w:rsidRPr="00720139">
        <w:rPr>
          <w:rFonts w:ascii="Simplified Arabic" w:hAnsi="Simplified Arabic" w:cs="Simplified Arabic" w:hint="cs"/>
          <w:rtl/>
        </w:rPr>
        <w:t xml:space="preserve">ه </w:t>
      </w:r>
      <w:r w:rsidR="00894E15" w:rsidRPr="00720139">
        <w:rPr>
          <w:rFonts w:ascii="Simplified Arabic" w:hAnsi="Simplified Arabic" w:cs="Simplified Arabic" w:hint="cs"/>
          <w:rtl/>
        </w:rPr>
        <w:t>الإحتلال الإسرائيلي عنوة بعيد احتلاله</w:t>
      </w:r>
      <w:r w:rsidRPr="00720139">
        <w:rPr>
          <w:rFonts w:ascii="Simplified Arabic" w:hAnsi="Simplified Arabic" w:cs="Simplified Arabic" w:hint="cs"/>
          <w:rtl/>
        </w:rPr>
        <w:t xml:space="preserve"> للضفة الغربية عام 1967. </w:t>
      </w:r>
    </w:p>
  </w:footnote>
  <w:footnote w:id="3">
    <w:p w:rsidR="008200AB" w:rsidRPr="00720139" w:rsidRDefault="008200AB" w:rsidP="00690B6F">
      <w:pPr>
        <w:pStyle w:val="FootnoteText"/>
      </w:pPr>
      <w:r w:rsidRPr="00720139">
        <w:rPr>
          <w:rStyle w:val="FootnoteReference"/>
          <w:color w:val="auto"/>
        </w:rPr>
        <w:footnoteRef/>
      </w:r>
      <w:r w:rsidRPr="00720139">
        <w:rPr>
          <w:rtl/>
        </w:rPr>
        <w:t xml:space="preserve"> </w:t>
      </w:r>
      <w:r w:rsidRPr="00720139">
        <w:rPr>
          <w:rFonts w:hint="cs"/>
          <w:rtl/>
        </w:rPr>
        <w:t xml:space="preserve">البيانات بالأسعار الثابتة، سنة الاساس </w:t>
      </w:r>
      <w:r w:rsidR="00690B6F" w:rsidRPr="00720139">
        <w:rPr>
          <w:rFonts w:hint="cs"/>
          <w:rtl/>
        </w:rPr>
        <w:t>2015</w:t>
      </w:r>
      <w:r w:rsidRPr="00720139">
        <w:rPr>
          <w:rFonts w:hint="cs"/>
          <w:rtl/>
        </w:rPr>
        <w:t xml:space="preserve">، </w:t>
      </w:r>
      <w:r w:rsidR="00690B6F" w:rsidRPr="00720139">
        <w:rPr>
          <w:rFonts w:ascii="Simplified Arabic" w:hAnsi="Simplified Arabic" w:cs="Simplified Arabic"/>
          <w:rtl/>
        </w:rPr>
        <w:t xml:space="preserve">كما أن </w:t>
      </w:r>
      <w:r w:rsidR="00690B6F" w:rsidRPr="00720139">
        <w:rPr>
          <w:rFonts w:ascii="Simplified Arabic" w:hAnsi="Simplified Arabic" w:cs="Simplified Arabic"/>
          <w:rtl/>
          <w:lang w:eastAsia="en-US"/>
        </w:rPr>
        <w:t xml:space="preserve">البيانات 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لا تشمل</w:t>
      </w:r>
      <w:r w:rsidR="00690B6F" w:rsidRPr="00720139">
        <w:rPr>
          <w:rFonts w:ascii="Simplified Arabic" w:hAnsi="Simplified Arabic" w:cs="Simplified Arabic"/>
          <w:rtl/>
          <w:lang w:eastAsia="en-US"/>
        </w:rPr>
        <w:t xml:space="preserve"> ذلك الجزء من محافظة القدس 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و</w:t>
      </w:r>
      <w:r w:rsidR="00690B6F" w:rsidRPr="00720139">
        <w:rPr>
          <w:rFonts w:ascii="Simplified Arabic" w:hAnsi="Simplified Arabic" w:cs="Simplified Arabic"/>
          <w:rtl/>
          <w:lang w:eastAsia="en-US"/>
        </w:rPr>
        <w:t xml:space="preserve">الذي ضمه 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الإحتلال الإ</w:t>
      </w:r>
      <w:r w:rsidR="00690B6F" w:rsidRPr="00720139">
        <w:rPr>
          <w:rFonts w:ascii="Simplified Arabic" w:hAnsi="Simplified Arabic" w:cs="Simplified Arabic"/>
          <w:rtl/>
          <w:lang w:eastAsia="en-US"/>
        </w:rPr>
        <w:t>سرائيل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ي</w:t>
      </w:r>
      <w:r w:rsidR="00690B6F" w:rsidRPr="00720139">
        <w:rPr>
          <w:rFonts w:ascii="Simplified Arabic" w:hAnsi="Simplified Arabic" w:cs="Simplified Arabic"/>
          <w:rtl/>
          <w:lang w:eastAsia="en-US"/>
        </w:rPr>
        <w:t xml:space="preserve"> عنوة بعيد احتلاله للضفة الغربية عام 1967</w:t>
      </w:r>
      <w:r w:rsidR="00690B6F" w:rsidRPr="00720139">
        <w:rPr>
          <w:rFonts w:ascii="Simplified Arabic" w:hAnsi="Simplified Arabic" w:cs="Simplified Arabic" w:hint="cs"/>
          <w:rtl/>
          <w:lang w:eastAsia="en-US"/>
        </w:rPr>
        <w:t>.</w:t>
      </w:r>
    </w:p>
  </w:footnote>
  <w:footnote w:id="4">
    <w:p w:rsidR="008200AB" w:rsidRPr="00720139" w:rsidRDefault="008200AB" w:rsidP="00AF4F5D">
      <w:pPr>
        <w:pStyle w:val="FootnoteText"/>
        <w:rPr>
          <w:rFonts w:ascii="Simplified Arabic" w:hAnsi="Simplified Arabic" w:cs="Simplified Arabic"/>
        </w:rPr>
      </w:pPr>
      <w:r w:rsidRPr="00720139">
        <w:rPr>
          <w:rStyle w:val="FootnoteReference"/>
          <w:rFonts w:ascii="Simplified Arabic" w:hAnsi="Simplified Arabic"/>
          <w:color w:val="auto"/>
        </w:rPr>
        <w:footnoteRef/>
      </w:r>
      <w:r w:rsidRPr="00720139">
        <w:rPr>
          <w:rFonts w:ascii="Simplified Arabic" w:hAnsi="Simplified Arabic" w:cs="Simplified Arabic"/>
          <w:rtl/>
        </w:rPr>
        <w:t xml:space="preserve"> الافتراضات الخاصة بوزارة المالية هي افتراضات </w:t>
      </w:r>
      <w:r w:rsidRPr="00720139">
        <w:rPr>
          <w:rFonts w:ascii="Simplified Arabic" w:hAnsi="Simplified Arabic" w:cs="Simplified Arabic" w:hint="cs"/>
          <w:rtl/>
        </w:rPr>
        <w:t>أ</w:t>
      </w:r>
      <w:r w:rsidRPr="00720139">
        <w:rPr>
          <w:rFonts w:ascii="Simplified Arabic" w:hAnsi="Simplified Arabic" w:cs="Simplified Arabic"/>
          <w:rtl/>
        </w:rPr>
        <w:t>ولية.</w:t>
      </w:r>
    </w:p>
  </w:footnote>
  <w:footnote w:id="5">
    <w:p w:rsidR="008200AB" w:rsidRPr="00720139" w:rsidRDefault="008200AB" w:rsidP="00B07BD1">
      <w:pPr>
        <w:pStyle w:val="FootnoteText"/>
      </w:pPr>
      <w:r w:rsidRPr="00720139">
        <w:rPr>
          <w:rStyle w:val="FootnoteReference"/>
          <w:color w:val="auto"/>
        </w:rPr>
        <w:footnoteRef/>
      </w:r>
      <w:r w:rsidRPr="00720139">
        <w:rPr>
          <w:rtl/>
        </w:rPr>
        <w:t xml:space="preserve"> </w:t>
      </w:r>
      <w:r w:rsidRPr="00720139">
        <w:rPr>
          <w:rFonts w:ascii="Simplified Arabic" w:hAnsi="Simplified Arabic" w:cs="Simplified Arabic"/>
          <w:rtl/>
          <w:lang w:val="fr-CH"/>
        </w:rPr>
        <w:t xml:space="preserve">يتكون صافي الحساب الجاري من الميزان التجاري وصافي التحويلات </w:t>
      </w:r>
      <w:r w:rsidRPr="00720139">
        <w:rPr>
          <w:rFonts w:ascii="Simplified Arabic" w:hAnsi="Simplified Arabic" w:cs="Simplified Arabic" w:hint="cs"/>
          <w:rtl/>
          <w:lang w:val="fr-CH"/>
        </w:rPr>
        <w:t>الجارية</w:t>
      </w:r>
      <w:r w:rsidRPr="00720139">
        <w:rPr>
          <w:rFonts w:ascii="Simplified Arabic" w:hAnsi="Simplified Arabic" w:cs="Simplified Arabic"/>
          <w:rtl/>
          <w:lang w:val="fr-CH"/>
        </w:rPr>
        <w:t xml:space="preserve"> وصافي الدخل</w:t>
      </w:r>
      <w:r w:rsidRPr="00720139">
        <w:rPr>
          <w:rFonts w:ascii="Simplified Arabic" w:hAnsi="Simplified Arabic" w:cs="Simplified Arabic" w:hint="cs"/>
          <w:rtl/>
          <w:lang w:val="fr-CH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93F"/>
    <w:multiLevelType w:val="hybridMultilevel"/>
    <w:tmpl w:val="7588568A"/>
    <w:lvl w:ilvl="0" w:tplc="19A07A5A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E14"/>
    <w:multiLevelType w:val="hybridMultilevel"/>
    <w:tmpl w:val="6B92519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>
    <w:nsid w:val="0869572E"/>
    <w:multiLevelType w:val="hybridMultilevel"/>
    <w:tmpl w:val="AB902A5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1063BCD"/>
    <w:multiLevelType w:val="hybridMultilevel"/>
    <w:tmpl w:val="A9103FD0"/>
    <w:lvl w:ilvl="0" w:tplc="6B702D34">
      <w:start w:val="1"/>
      <w:numFmt w:val="bullet"/>
      <w:lvlText w:val=""/>
      <w:lvlJc w:val="left"/>
      <w:pPr>
        <w:tabs>
          <w:tab w:val="num" w:pos="1440"/>
        </w:tabs>
        <w:ind w:left="1361" w:right="136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29E0C8CE">
      <w:start w:val="1"/>
      <w:numFmt w:val="bullet"/>
      <w:lvlText w:val="­"/>
      <w:lvlJc w:val="left"/>
      <w:pPr>
        <w:tabs>
          <w:tab w:val="num" w:pos="1440"/>
        </w:tabs>
        <w:ind w:left="1437" w:right="1437" w:hanging="357"/>
      </w:pPr>
      <w:rPr>
        <w:rFonts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11982266"/>
    <w:multiLevelType w:val="hybridMultilevel"/>
    <w:tmpl w:val="CC74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27F2D"/>
    <w:multiLevelType w:val="hybridMultilevel"/>
    <w:tmpl w:val="56988FF4"/>
    <w:lvl w:ilvl="0" w:tplc="B4BC371A">
      <w:start w:val="1"/>
      <w:numFmt w:val="bullet"/>
      <w:lvlText w:val="­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20"/>
        </w:tabs>
        <w:ind w:left="1220" w:right="12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940"/>
        </w:tabs>
        <w:ind w:left="1940" w:right="19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660"/>
        </w:tabs>
        <w:ind w:left="2660" w:right="26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80"/>
        </w:tabs>
        <w:ind w:left="3380" w:right="33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00"/>
        </w:tabs>
        <w:ind w:left="4100" w:right="41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20"/>
        </w:tabs>
        <w:ind w:left="4820" w:right="48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540"/>
        </w:tabs>
        <w:ind w:left="5540" w:right="55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260"/>
        </w:tabs>
        <w:ind w:left="6260" w:right="6260" w:hanging="360"/>
      </w:pPr>
      <w:rPr>
        <w:rFonts w:ascii="Wingdings" w:hAnsi="Wingdings" w:hint="default"/>
      </w:rPr>
    </w:lvl>
  </w:abstractNum>
  <w:abstractNum w:abstractNumId="8">
    <w:nsid w:val="15C84C82"/>
    <w:multiLevelType w:val="hybridMultilevel"/>
    <w:tmpl w:val="55D89B46"/>
    <w:lvl w:ilvl="0" w:tplc="16369DAC">
      <w:start w:val="4"/>
      <w:numFmt w:val="bullet"/>
      <w:lvlText w:val=""/>
      <w:lvlJc w:val="left"/>
      <w:pPr>
        <w:ind w:left="720" w:righ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>
    <w:nsid w:val="16CC5847"/>
    <w:multiLevelType w:val="hybridMultilevel"/>
    <w:tmpl w:val="D4D0DC5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17166536"/>
    <w:multiLevelType w:val="hybridMultilevel"/>
    <w:tmpl w:val="E4E4ACB0"/>
    <w:lvl w:ilvl="0" w:tplc="341457AC">
      <w:start w:val="12"/>
      <w:numFmt w:val="bullet"/>
      <w:lvlText w:val=""/>
      <w:lvlJc w:val="left"/>
      <w:pPr>
        <w:tabs>
          <w:tab w:val="num" w:pos="26"/>
        </w:tabs>
        <w:ind w:left="26" w:right="2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746"/>
        </w:tabs>
        <w:ind w:left="746" w:right="74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466"/>
        </w:tabs>
        <w:ind w:left="1466" w:right="146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186"/>
        </w:tabs>
        <w:ind w:left="2186" w:right="218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906"/>
        </w:tabs>
        <w:ind w:left="2906" w:right="290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626"/>
        </w:tabs>
        <w:ind w:left="3626" w:right="362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346"/>
        </w:tabs>
        <w:ind w:left="4346" w:right="434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066"/>
        </w:tabs>
        <w:ind w:left="5066" w:right="506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786"/>
        </w:tabs>
        <w:ind w:left="5786" w:right="5786" w:hanging="360"/>
      </w:pPr>
      <w:rPr>
        <w:rFonts w:ascii="Wingdings" w:hAnsi="Wingdings" w:hint="default"/>
      </w:rPr>
    </w:lvl>
  </w:abstractNum>
  <w:abstractNum w:abstractNumId="11">
    <w:nsid w:val="194348C2"/>
    <w:multiLevelType w:val="hybridMultilevel"/>
    <w:tmpl w:val="22FECD1C"/>
    <w:lvl w:ilvl="0" w:tplc="CAE09E72">
      <w:start w:val="1"/>
      <w:numFmt w:val="decimal"/>
      <w:lvlText w:val="%1-"/>
      <w:lvlJc w:val="left"/>
      <w:pPr>
        <w:ind w:left="-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" w:hanging="360"/>
      </w:pPr>
    </w:lvl>
    <w:lvl w:ilvl="2" w:tplc="0809001B" w:tentative="1">
      <w:start w:val="1"/>
      <w:numFmt w:val="lowerRoman"/>
      <w:lvlText w:val="%3."/>
      <w:lvlJc w:val="right"/>
      <w:pPr>
        <w:ind w:left="1097" w:hanging="180"/>
      </w:pPr>
    </w:lvl>
    <w:lvl w:ilvl="3" w:tplc="0809000F" w:tentative="1">
      <w:start w:val="1"/>
      <w:numFmt w:val="decimal"/>
      <w:lvlText w:val="%4."/>
      <w:lvlJc w:val="left"/>
      <w:pPr>
        <w:ind w:left="1817" w:hanging="360"/>
      </w:pPr>
    </w:lvl>
    <w:lvl w:ilvl="4" w:tplc="08090019" w:tentative="1">
      <w:start w:val="1"/>
      <w:numFmt w:val="lowerLetter"/>
      <w:lvlText w:val="%5."/>
      <w:lvlJc w:val="left"/>
      <w:pPr>
        <w:ind w:left="2537" w:hanging="360"/>
      </w:pPr>
    </w:lvl>
    <w:lvl w:ilvl="5" w:tplc="0809001B" w:tentative="1">
      <w:start w:val="1"/>
      <w:numFmt w:val="lowerRoman"/>
      <w:lvlText w:val="%6."/>
      <w:lvlJc w:val="right"/>
      <w:pPr>
        <w:ind w:left="3257" w:hanging="180"/>
      </w:pPr>
    </w:lvl>
    <w:lvl w:ilvl="6" w:tplc="0809000F" w:tentative="1">
      <w:start w:val="1"/>
      <w:numFmt w:val="decimal"/>
      <w:lvlText w:val="%7."/>
      <w:lvlJc w:val="left"/>
      <w:pPr>
        <w:ind w:left="3977" w:hanging="360"/>
      </w:pPr>
    </w:lvl>
    <w:lvl w:ilvl="7" w:tplc="08090019" w:tentative="1">
      <w:start w:val="1"/>
      <w:numFmt w:val="lowerLetter"/>
      <w:lvlText w:val="%8."/>
      <w:lvlJc w:val="left"/>
      <w:pPr>
        <w:ind w:left="4697" w:hanging="360"/>
      </w:pPr>
    </w:lvl>
    <w:lvl w:ilvl="8" w:tplc="0809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2">
    <w:nsid w:val="202F6D81"/>
    <w:multiLevelType w:val="hybridMultilevel"/>
    <w:tmpl w:val="5CCC6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15B47C9"/>
    <w:multiLevelType w:val="hybridMultilevel"/>
    <w:tmpl w:val="B9161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63C5AA4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19C0C36"/>
    <w:multiLevelType w:val="hybridMultilevel"/>
    <w:tmpl w:val="0526F726"/>
    <w:lvl w:ilvl="0" w:tplc="DE9C8800">
      <w:start w:val="3"/>
      <w:numFmt w:val="bullet"/>
      <w:lvlText w:val=""/>
      <w:lvlJc w:val="left"/>
      <w:pPr>
        <w:ind w:left="73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1DD4CDE"/>
    <w:multiLevelType w:val="hybridMultilevel"/>
    <w:tmpl w:val="6C3C9B84"/>
    <w:lvl w:ilvl="0" w:tplc="6B702D34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abstractNum w:abstractNumId="16">
    <w:nsid w:val="29F66D8C"/>
    <w:multiLevelType w:val="singleLevel"/>
    <w:tmpl w:val="BD68D12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7">
    <w:nsid w:val="305604D4"/>
    <w:multiLevelType w:val="hybridMultilevel"/>
    <w:tmpl w:val="E11A3D6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8">
    <w:nsid w:val="32842863"/>
    <w:multiLevelType w:val="hybridMultilevel"/>
    <w:tmpl w:val="33FCCF6E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34B83698"/>
    <w:multiLevelType w:val="hybridMultilevel"/>
    <w:tmpl w:val="2CB8DC4A"/>
    <w:lvl w:ilvl="0" w:tplc="0E86838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99676A6"/>
    <w:multiLevelType w:val="hybridMultilevel"/>
    <w:tmpl w:val="0A84D3C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21">
    <w:nsid w:val="3C23430C"/>
    <w:multiLevelType w:val="hybridMultilevel"/>
    <w:tmpl w:val="AC5CF6D6"/>
    <w:lvl w:ilvl="0" w:tplc="04010001">
      <w:start w:val="1"/>
      <w:numFmt w:val="bullet"/>
      <w:lvlText w:val=""/>
      <w:lvlJc w:val="left"/>
      <w:pPr>
        <w:tabs>
          <w:tab w:val="num" w:pos="790"/>
        </w:tabs>
        <w:ind w:left="790" w:right="7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0"/>
        </w:tabs>
        <w:ind w:left="1510" w:right="15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0"/>
        </w:tabs>
        <w:ind w:left="2230" w:right="22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0"/>
        </w:tabs>
        <w:ind w:left="2950" w:right="29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0"/>
        </w:tabs>
        <w:ind w:left="3670" w:right="36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0"/>
        </w:tabs>
        <w:ind w:left="4390" w:right="43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0"/>
        </w:tabs>
        <w:ind w:left="5110" w:right="51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0"/>
        </w:tabs>
        <w:ind w:left="5830" w:right="58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0"/>
        </w:tabs>
        <w:ind w:left="6550" w:right="6550" w:hanging="360"/>
      </w:pPr>
      <w:rPr>
        <w:rFonts w:ascii="Wingdings" w:hAnsi="Wingdings" w:hint="default"/>
      </w:rPr>
    </w:lvl>
  </w:abstractNum>
  <w:abstractNum w:abstractNumId="22">
    <w:nsid w:val="3CA54660"/>
    <w:multiLevelType w:val="hybridMultilevel"/>
    <w:tmpl w:val="4D88A8B2"/>
    <w:lvl w:ilvl="0" w:tplc="AF8C0114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404B4B99"/>
    <w:multiLevelType w:val="hybridMultilevel"/>
    <w:tmpl w:val="AA086390"/>
    <w:lvl w:ilvl="0" w:tplc="AA120726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508B4"/>
    <w:multiLevelType w:val="multilevel"/>
    <w:tmpl w:val="371A65DE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26">
    <w:nsid w:val="450B7C08"/>
    <w:multiLevelType w:val="hybridMultilevel"/>
    <w:tmpl w:val="2FD44D9C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459654A2"/>
    <w:multiLevelType w:val="hybridMultilevel"/>
    <w:tmpl w:val="2DB259D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49615325"/>
    <w:multiLevelType w:val="hybridMultilevel"/>
    <w:tmpl w:val="FDC892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49C30B87"/>
    <w:multiLevelType w:val="singleLevel"/>
    <w:tmpl w:val="632E7420"/>
    <w:lvl w:ilvl="0">
      <w:start w:val="2"/>
      <w:numFmt w:val="chosung"/>
      <w:lvlText w:val="-"/>
      <w:lvlJc w:val="left"/>
      <w:pPr>
        <w:tabs>
          <w:tab w:val="num" w:pos="535"/>
        </w:tabs>
        <w:ind w:left="535" w:right="535" w:hanging="360"/>
      </w:pPr>
      <w:rPr>
        <w:rFonts w:cs="Times New Roman" w:hint="default"/>
        <w:sz w:val="24"/>
      </w:rPr>
    </w:lvl>
  </w:abstractNum>
  <w:abstractNum w:abstractNumId="30">
    <w:nsid w:val="4FC5066D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B013E1"/>
    <w:multiLevelType w:val="hybridMultilevel"/>
    <w:tmpl w:val="8AE032F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32">
    <w:nsid w:val="59A42147"/>
    <w:multiLevelType w:val="hybridMultilevel"/>
    <w:tmpl w:val="A950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F7AB5"/>
    <w:multiLevelType w:val="hybridMultilevel"/>
    <w:tmpl w:val="696CBC8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617210BB"/>
    <w:multiLevelType w:val="hybridMultilevel"/>
    <w:tmpl w:val="1A64E266"/>
    <w:lvl w:ilvl="0" w:tplc="5A7CDD8C">
      <w:start w:val="1"/>
      <w:numFmt w:val="decimal"/>
      <w:lvlText w:val="%1."/>
      <w:lvlJc w:val="left"/>
      <w:pPr>
        <w:tabs>
          <w:tab w:val="num" w:pos="855"/>
        </w:tabs>
        <w:ind w:left="855" w:righ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61AA0E2A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907849"/>
    <w:multiLevelType w:val="multilevel"/>
    <w:tmpl w:val="99608C80"/>
    <w:lvl w:ilvl="0">
      <w:start w:val="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37">
    <w:nsid w:val="6AD41A2D"/>
    <w:multiLevelType w:val="hybridMultilevel"/>
    <w:tmpl w:val="A9B4EA20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B4BC371A">
      <w:start w:val="1"/>
      <w:numFmt w:val="bullet"/>
      <w:lvlText w:val="­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6FD8068D"/>
    <w:multiLevelType w:val="hybridMultilevel"/>
    <w:tmpl w:val="FD5C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B310F"/>
    <w:multiLevelType w:val="hybridMultilevel"/>
    <w:tmpl w:val="25823FC6"/>
    <w:lvl w:ilvl="0" w:tplc="76B6BF5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7D2E1EC2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num w:numId="1">
    <w:abstractNumId w:val="27"/>
  </w:num>
  <w:num w:numId="2">
    <w:abstractNumId w:val="21"/>
  </w:num>
  <w:num w:numId="3">
    <w:abstractNumId w:val="8"/>
  </w:num>
  <w:num w:numId="4">
    <w:abstractNumId w:val="40"/>
  </w:num>
  <w:num w:numId="5">
    <w:abstractNumId w:val="16"/>
  </w:num>
  <w:num w:numId="6">
    <w:abstractNumId w:val="29"/>
  </w:num>
  <w:num w:numId="7">
    <w:abstractNumId w:val="36"/>
  </w:num>
  <w:num w:numId="8">
    <w:abstractNumId w:val="25"/>
  </w:num>
  <w:num w:numId="9">
    <w:abstractNumId w:val="5"/>
  </w:num>
  <w:num w:numId="10">
    <w:abstractNumId w:val="15"/>
  </w:num>
  <w:num w:numId="11">
    <w:abstractNumId w:val="37"/>
  </w:num>
  <w:num w:numId="12">
    <w:abstractNumId w:val="28"/>
  </w:num>
  <w:num w:numId="13">
    <w:abstractNumId w:val="7"/>
  </w:num>
  <w:num w:numId="14">
    <w:abstractNumId w:val="18"/>
  </w:num>
  <w:num w:numId="15">
    <w:abstractNumId w:val="34"/>
  </w:num>
  <w:num w:numId="16">
    <w:abstractNumId w:val="22"/>
  </w:num>
  <w:num w:numId="17">
    <w:abstractNumId w:val="19"/>
  </w:num>
  <w:num w:numId="18">
    <w:abstractNumId w:val="1"/>
  </w:num>
  <w:num w:numId="19">
    <w:abstractNumId w:val="17"/>
  </w:num>
  <w:num w:numId="20">
    <w:abstractNumId w:val="20"/>
  </w:num>
  <w:num w:numId="21">
    <w:abstractNumId w:val="31"/>
  </w:num>
  <w:num w:numId="22">
    <w:abstractNumId w:val="26"/>
  </w:num>
  <w:num w:numId="23">
    <w:abstractNumId w:val="13"/>
  </w:num>
  <w:num w:numId="24">
    <w:abstractNumId w:val="39"/>
  </w:num>
  <w:num w:numId="25">
    <w:abstractNumId w:val="33"/>
  </w:num>
  <w:num w:numId="26">
    <w:abstractNumId w:val="9"/>
  </w:num>
  <w:num w:numId="27">
    <w:abstractNumId w:val="4"/>
  </w:num>
  <w:num w:numId="28">
    <w:abstractNumId w:val="2"/>
  </w:num>
  <w:num w:numId="29">
    <w:abstractNumId w:val="10"/>
  </w:num>
  <w:num w:numId="30">
    <w:abstractNumId w:val="32"/>
  </w:num>
  <w:num w:numId="31">
    <w:abstractNumId w:val="38"/>
  </w:num>
  <w:num w:numId="32">
    <w:abstractNumId w:val="0"/>
  </w:num>
  <w:num w:numId="33">
    <w:abstractNumId w:val="23"/>
  </w:num>
  <w:num w:numId="34">
    <w:abstractNumId w:val="14"/>
  </w:num>
  <w:num w:numId="35">
    <w:abstractNumId w:val="12"/>
  </w:num>
  <w:num w:numId="36">
    <w:abstractNumId w:val="35"/>
  </w:num>
  <w:num w:numId="37">
    <w:abstractNumId w:val="30"/>
  </w:num>
  <w:num w:numId="38">
    <w:abstractNumId w:val="24"/>
  </w:num>
  <w:num w:numId="39">
    <w:abstractNumId w:val="3"/>
  </w:num>
  <w:num w:numId="40">
    <w:abstractNumId w:val="6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65E1A"/>
    <w:rsid w:val="000010EE"/>
    <w:rsid w:val="000016C3"/>
    <w:rsid w:val="000025F6"/>
    <w:rsid w:val="000029E0"/>
    <w:rsid w:val="000032C2"/>
    <w:rsid w:val="00003758"/>
    <w:rsid w:val="00003C5A"/>
    <w:rsid w:val="00006393"/>
    <w:rsid w:val="0000683C"/>
    <w:rsid w:val="00006B0D"/>
    <w:rsid w:val="00006D99"/>
    <w:rsid w:val="00010EE8"/>
    <w:rsid w:val="000111FB"/>
    <w:rsid w:val="00011BF2"/>
    <w:rsid w:val="00012A8E"/>
    <w:rsid w:val="00013731"/>
    <w:rsid w:val="00013B07"/>
    <w:rsid w:val="000152D0"/>
    <w:rsid w:val="00015497"/>
    <w:rsid w:val="00017BBE"/>
    <w:rsid w:val="00020672"/>
    <w:rsid w:val="00020CB1"/>
    <w:rsid w:val="000214B1"/>
    <w:rsid w:val="00021CA9"/>
    <w:rsid w:val="0002232F"/>
    <w:rsid w:val="00023956"/>
    <w:rsid w:val="000242DA"/>
    <w:rsid w:val="00025413"/>
    <w:rsid w:val="00025539"/>
    <w:rsid w:val="0002679D"/>
    <w:rsid w:val="0002780D"/>
    <w:rsid w:val="0002786C"/>
    <w:rsid w:val="000308D2"/>
    <w:rsid w:val="000323F3"/>
    <w:rsid w:val="000325DE"/>
    <w:rsid w:val="00032B43"/>
    <w:rsid w:val="00032F7C"/>
    <w:rsid w:val="00033848"/>
    <w:rsid w:val="00034450"/>
    <w:rsid w:val="00035610"/>
    <w:rsid w:val="00035D60"/>
    <w:rsid w:val="00035D77"/>
    <w:rsid w:val="00040C4C"/>
    <w:rsid w:val="00040D25"/>
    <w:rsid w:val="00042B02"/>
    <w:rsid w:val="00043A12"/>
    <w:rsid w:val="0004417D"/>
    <w:rsid w:val="00044A39"/>
    <w:rsid w:val="00044CAB"/>
    <w:rsid w:val="000452C8"/>
    <w:rsid w:val="00045833"/>
    <w:rsid w:val="00045AE3"/>
    <w:rsid w:val="000468B6"/>
    <w:rsid w:val="00046A9D"/>
    <w:rsid w:val="00046B78"/>
    <w:rsid w:val="00046DAC"/>
    <w:rsid w:val="00051C6B"/>
    <w:rsid w:val="000520A9"/>
    <w:rsid w:val="00054413"/>
    <w:rsid w:val="000545A4"/>
    <w:rsid w:val="00054992"/>
    <w:rsid w:val="0005544E"/>
    <w:rsid w:val="00055F4A"/>
    <w:rsid w:val="00056D45"/>
    <w:rsid w:val="00056E18"/>
    <w:rsid w:val="000571BC"/>
    <w:rsid w:val="0005779E"/>
    <w:rsid w:val="00057BB9"/>
    <w:rsid w:val="00061BD2"/>
    <w:rsid w:val="00061C82"/>
    <w:rsid w:val="00063D31"/>
    <w:rsid w:val="00063F48"/>
    <w:rsid w:val="0006476D"/>
    <w:rsid w:val="000649EA"/>
    <w:rsid w:val="00064CEB"/>
    <w:rsid w:val="00065B9A"/>
    <w:rsid w:val="00065ED4"/>
    <w:rsid w:val="000673DE"/>
    <w:rsid w:val="00067616"/>
    <w:rsid w:val="00071B7A"/>
    <w:rsid w:val="000721E4"/>
    <w:rsid w:val="00072492"/>
    <w:rsid w:val="00072639"/>
    <w:rsid w:val="00072C8F"/>
    <w:rsid w:val="00072DF9"/>
    <w:rsid w:val="00072FDA"/>
    <w:rsid w:val="00073903"/>
    <w:rsid w:val="000742CE"/>
    <w:rsid w:val="000747FE"/>
    <w:rsid w:val="00074F91"/>
    <w:rsid w:val="0007648F"/>
    <w:rsid w:val="000774AC"/>
    <w:rsid w:val="000774DE"/>
    <w:rsid w:val="000776D5"/>
    <w:rsid w:val="00080DEF"/>
    <w:rsid w:val="0008174B"/>
    <w:rsid w:val="00081B88"/>
    <w:rsid w:val="00083D25"/>
    <w:rsid w:val="000843B0"/>
    <w:rsid w:val="00084765"/>
    <w:rsid w:val="000851C6"/>
    <w:rsid w:val="00085C26"/>
    <w:rsid w:val="00085C55"/>
    <w:rsid w:val="00085F24"/>
    <w:rsid w:val="000869FA"/>
    <w:rsid w:val="00086BD2"/>
    <w:rsid w:val="00086E41"/>
    <w:rsid w:val="0008739C"/>
    <w:rsid w:val="00087887"/>
    <w:rsid w:val="0009032D"/>
    <w:rsid w:val="000904CF"/>
    <w:rsid w:val="0009064D"/>
    <w:rsid w:val="000911A8"/>
    <w:rsid w:val="00091487"/>
    <w:rsid w:val="000920F8"/>
    <w:rsid w:val="00092536"/>
    <w:rsid w:val="00092851"/>
    <w:rsid w:val="0009472A"/>
    <w:rsid w:val="00095893"/>
    <w:rsid w:val="00096464"/>
    <w:rsid w:val="00097863"/>
    <w:rsid w:val="0009791C"/>
    <w:rsid w:val="000A086E"/>
    <w:rsid w:val="000A0995"/>
    <w:rsid w:val="000A0E84"/>
    <w:rsid w:val="000A12B8"/>
    <w:rsid w:val="000A1760"/>
    <w:rsid w:val="000A2332"/>
    <w:rsid w:val="000A2EF0"/>
    <w:rsid w:val="000A35B1"/>
    <w:rsid w:val="000A4616"/>
    <w:rsid w:val="000A4B62"/>
    <w:rsid w:val="000A5A95"/>
    <w:rsid w:val="000A5BA2"/>
    <w:rsid w:val="000A679F"/>
    <w:rsid w:val="000A7179"/>
    <w:rsid w:val="000A7986"/>
    <w:rsid w:val="000B0589"/>
    <w:rsid w:val="000B0D14"/>
    <w:rsid w:val="000B1F5F"/>
    <w:rsid w:val="000B229C"/>
    <w:rsid w:val="000B240A"/>
    <w:rsid w:val="000B330C"/>
    <w:rsid w:val="000B3543"/>
    <w:rsid w:val="000B36B1"/>
    <w:rsid w:val="000B3FA7"/>
    <w:rsid w:val="000B52BE"/>
    <w:rsid w:val="000B6CC8"/>
    <w:rsid w:val="000B6E39"/>
    <w:rsid w:val="000B7238"/>
    <w:rsid w:val="000B7297"/>
    <w:rsid w:val="000C0BB9"/>
    <w:rsid w:val="000C1986"/>
    <w:rsid w:val="000C223B"/>
    <w:rsid w:val="000C2636"/>
    <w:rsid w:val="000C4C97"/>
    <w:rsid w:val="000C501B"/>
    <w:rsid w:val="000C5B9F"/>
    <w:rsid w:val="000C67A5"/>
    <w:rsid w:val="000C6B61"/>
    <w:rsid w:val="000D0843"/>
    <w:rsid w:val="000D198C"/>
    <w:rsid w:val="000D1D31"/>
    <w:rsid w:val="000D1F26"/>
    <w:rsid w:val="000D32C0"/>
    <w:rsid w:val="000D567A"/>
    <w:rsid w:val="000D5C3A"/>
    <w:rsid w:val="000D637F"/>
    <w:rsid w:val="000D63BE"/>
    <w:rsid w:val="000D6C53"/>
    <w:rsid w:val="000D7580"/>
    <w:rsid w:val="000E10AC"/>
    <w:rsid w:val="000E11F7"/>
    <w:rsid w:val="000E1750"/>
    <w:rsid w:val="000E2710"/>
    <w:rsid w:val="000E2C93"/>
    <w:rsid w:val="000E3661"/>
    <w:rsid w:val="000E4045"/>
    <w:rsid w:val="000E4153"/>
    <w:rsid w:val="000E4A96"/>
    <w:rsid w:val="000E4C66"/>
    <w:rsid w:val="000E4DE5"/>
    <w:rsid w:val="000E5446"/>
    <w:rsid w:val="000F0624"/>
    <w:rsid w:val="000F0791"/>
    <w:rsid w:val="000F2C19"/>
    <w:rsid w:val="000F313C"/>
    <w:rsid w:val="000F3933"/>
    <w:rsid w:val="000F3947"/>
    <w:rsid w:val="000F3F8F"/>
    <w:rsid w:val="000F485B"/>
    <w:rsid w:val="000F739C"/>
    <w:rsid w:val="000F7998"/>
    <w:rsid w:val="000F79E7"/>
    <w:rsid w:val="000F7D78"/>
    <w:rsid w:val="000F7F22"/>
    <w:rsid w:val="00101EF1"/>
    <w:rsid w:val="001021B8"/>
    <w:rsid w:val="00103148"/>
    <w:rsid w:val="0010320B"/>
    <w:rsid w:val="0010461A"/>
    <w:rsid w:val="00104A74"/>
    <w:rsid w:val="00106D72"/>
    <w:rsid w:val="00110BAB"/>
    <w:rsid w:val="00112BF2"/>
    <w:rsid w:val="001131CE"/>
    <w:rsid w:val="00114017"/>
    <w:rsid w:val="001162FC"/>
    <w:rsid w:val="0011645A"/>
    <w:rsid w:val="00117115"/>
    <w:rsid w:val="0011769C"/>
    <w:rsid w:val="00117A8D"/>
    <w:rsid w:val="00117D76"/>
    <w:rsid w:val="00117DB3"/>
    <w:rsid w:val="00121464"/>
    <w:rsid w:val="00121C35"/>
    <w:rsid w:val="00121C80"/>
    <w:rsid w:val="001226FA"/>
    <w:rsid w:val="00122D9D"/>
    <w:rsid w:val="00122F78"/>
    <w:rsid w:val="00126B52"/>
    <w:rsid w:val="0012742E"/>
    <w:rsid w:val="00127E98"/>
    <w:rsid w:val="001310D1"/>
    <w:rsid w:val="00131671"/>
    <w:rsid w:val="001324C2"/>
    <w:rsid w:val="00132815"/>
    <w:rsid w:val="001328DD"/>
    <w:rsid w:val="00132BB3"/>
    <w:rsid w:val="00133D34"/>
    <w:rsid w:val="001342C0"/>
    <w:rsid w:val="00134389"/>
    <w:rsid w:val="00134915"/>
    <w:rsid w:val="00135541"/>
    <w:rsid w:val="00135ADD"/>
    <w:rsid w:val="00136B0A"/>
    <w:rsid w:val="001415A2"/>
    <w:rsid w:val="001422DC"/>
    <w:rsid w:val="00142F43"/>
    <w:rsid w:val="00143168"/>
    <w:rsid w:val="0014379B"/>
    <w:rsid w:val="00143A1E"/>
    <w:rsid w:val="00144772"/>
    <w:rsid w:val="001447DB"/>
    <w:rsid w:val="00147F32"/>
    <w:rsid w:val="001503F2"/>
    <w:rsid w:val="001505AB"/>
    <w:rsid w:val="00150D7B"/>
    <w:rsid w:val="00150D88"/>
    <w:rsid w:val="00152D22"/>
    <w:rsid w:val="00152F5B"/>
    <w:rsid w:val="00153B55"/>
    <w:rsid w:val="00155521"/>
    <w:rsid w:val="00155F31"/>
    <w:rsid w:val="00156507"/>
    <w:rsid w:val="00156DBB"/>
    <w:rsid w:val="00156ED6"/>
    <w:rsid w:val="00157C2B"/>
    <w:rsid w:val="00157C34"/>
    <w:rsid w:val="00160B89"/>
    <w:rsid w:val="0016161E"/>
    <w:rsid w:val="00161FB7"/>
    <w:rsid w:val="00164D10"/>
    <w:rsid w:val="00164F27"/>
    <w:rsid w:val="001658D8"/>
    <w:rsid w:val="00165F3F"/>
    <w:rsid w:val="00165FD2"/>
    <w:rsid w:val="00166BEE"/>
    <w:rsid w:val="00167C53"/>
    <w:rsid w:val="0017003D"/>
    <w:rsid w:val="00170872"/>
    <w:rsid w:val="00172174"/>
    <w:rsid w:val="001721EE"/>
    <w:rsid w:val="00172AD1"/>
    <w:rsid w:val="00172E99"/>
    <w:rsid w:val="00173400"/>
    <w:rsid w:val="00173496"/>
    <w:rsid w:val="00175A91"/>
    <w:rsid w:val="00175DE0"/>
    <w:rsid w:val="0017664B"/>
    <w:rsid w:val="0017696C"/>
    <w:rsid w:val="001769D7"/>
    <w:rsid w:val="001773A5"/>
    <w:rsid w:val="00180578"/>
    <w:rsid w:val="00180C81"/>
    <w:rsid w:val="00180E52"/>
    <w:rsid w:val="00182829"/>
    <w:rsid w:val="00182D68"/>
    <w:rsid w:val="00182F72"/>
    <w:rsid w:val="00183262"/>
    <w:rsid w:val="001836F2"/>
    <w:rsid w:val="0018452B"/>
    <w:rsid w:val="001849DE"/>
    <w:rsid w:val="00184B0A"/>
    <w:rsid w:val="00184F4B"/>
    <w:rsid w:val="00187B01"/>
    <w:rsid w:val="001909B4"/>
    <w:rsid w:val="00190DA4"/>
    <w:rsid w:val="00192CEC"/>
    <w:rsid w:val="00193B3E"/>
    <w:rsid w:val="00193E5F"/>
    <w:rsid w:val="00193EDA"/>
    <w:rsid w:val="00193F57"/>
    <w:rsid w:val="0019453A"/>
    <w:rsid w:val="00197187"/>
    <w:rsid w:val="001979A2"/>
    <w:rsid w:val="001A010E"/>
    <w:rsid w:val="001A201A"/>
    <w:rsid w:val="001A2F70"/>
    <w:rsid w:val="001A40E5"/>
    <w:rsid w:val="001A4B9B"/>
    <w:rsid w:val="001A4D0F"/>
    <w:rsid w:val="001A6232"/>
    <w:rsid w:val="001A7050"/>
    <w:rsid w:val="001A7593"/>
    <w:rsid w:val="001A765B"/>
    <w:rsid w:val="001A788D"/>
    <w:rsid w:val="001A7C00"/>
    <w:rsid w:val="001B0219"/>
    <w:rsid w:val="001B3BC4"/>
    <w:rsid w:val="001B4665"/>
    <w:rsid w:val="001B4F4E"/>
    <w:rsid w:val="001B501C"/>
    <w:rsid w:val="001B538C"/>
    <w:rsid w:val="001B569F"/>
    <w:rsid w:val="001B5775"/>
    <w:rsid w:val="001B5D00"/>
    <w:rsid w:val="001C0200"/>
    <w:rsid w:val="001C0279"/>
    <w:rsid w:val="001C085A"/>
    <w:rsid w:val="001C16E4"/>
    <w:rsid w:val="001C1AEA"/>
    <w:rsid w:val="001C2909"/>
    <w:rsid w:val="001C2B90"/>
    <w:rsid w:val="001C2BD1"/>
    <w:rsid w:val="001C33C1"/>
    <w:rsid w:val="001C35B2"/>
    <w:rsid w:val="001C4693"/>
    <w:rsid w:val="001C5108"/>
    <w:rsid w:val="001C5199"/>
    <w:rsid w:val="001C567B"/>
    <w:rsid w:val="001C756B"/>
    <w:rsid w:val="001D1E4D"/>
    <w:rsid w:val="001D1F50"/>
    <w:rsid w:val="001D209E"/>
    <w:rsid w:val="001D2BDA"/>
    <w:rsid w:val="001D343A"/>
    <w:rsid w:val="001D3D5E"/>
    <w:rsid w:val="001D439F"/>
    <w:rsid w:val="001D55AE"/>
    <w:rsid w:val="001D5709"/>
    <w:rsid w:val="001D58A3"/>
    <w:rsid w:val="001D60A3"/>
    <w:rsid w:val="001D70E8"/>
    <w:rsid w:val="001D731D"/>
    <w:rsid w:val="001D7CEB"/>
    <w:rsid w:val="001E08F8"/>
    <w:rsid w:val="001E090C"/>
    <w:rsid w:val="001E197E"/>
    <w:rsid w:val="001E1C30"/>
    <w:rsid w:val="001E2077"/>
    <w:rsid w:val="001E23F9"/>
    <w:rsid w:val="001E2427"/>
    <w:rsid w:val="001E30C8"/>
    <w:rsid w:val="001E51E7"/>
    <w:rsid w:val="001E52F7"/>
    <w:rsid w:val="001E58AA"/>
    <w:rsid w:val="001E59BB"/>
    <w:rsid w:val="001E5EA5"/>
    <w:rsid w:val="001E60BB"/>
    <w:rsid w:val="001E76B2"/>
    <w:rsid w:val="001E7A37"/>
    <w:rsid w:val="001F0565"/>
    <w:rsid w:val="001F166A"/>
    <w:rsid w:val="001F24F6"/>
    <w:rsid w:val="001F3528"/>
    <w:rsid w:val="001F3856"/>
    <w:rsid w:val="001F3E75"/>
    <w:rsid w:val="001F4B16"/>
    <w:rsid w:val="001F4C53"/>
    <w:rsid w:val="001F4D44"/>
    <w:rsid w:val="001F59A8"/>
    <w:rsid w:val="001F5B5D"/>
    <w:rsid w:val="001F676C"/>
    <w:rsid w:val="001F7DFA"/>
    <w:rsid w:val="001F7F33"/>
    <w:rsid w:val="00200DBD"/>
    <w:rsid w:val="00201127"/>
    <w:rsid w:val="002016D9"/>
    <w:rsid w:val="00202B95"/>
    <w:rsid w:val="002035B7"/>
    <w:rsid w:val="00203847"/>
    <w:rsid w:val="00204065"/>
    <w:rsid w:val="0020424B"/>
    <w:rsid w:val="00204B8E"/>
    <w:rsid w:val="00204C26"/>
    <w:rsid w:val="00207DD5"/>
    <w:rsid w:val="00211679"/>
    <w:rsid w:val="00211A85"/>
    <w:rsid w:val="00211C81"/>
    <w:rsid w:val="00211DF8"/>
    <w:rsid w:val="00212017"/>
    <w:rsid w:val="00213D08"/>
    <w:rsid w:val="0021415E"/>
    <w:rsid w:val="00214828"/>
    <w:rsid w:val="00214B0B"/>
    <w:rsid w:val="002154FB"/>
    <w:rsid w:val="00215670"/>
    <w:rsid w:val="00216751"/>
    <w:rsid w:val="00216BEE"/>
    <w:rsid w:val="00216FCB"/>
    <w:rsid w:val="002170F6"/>
    <w:rsid w:val="00217DC2"/>
    <w:rsid w:val="002217A1"/>
    <w:rsid w:val="00221EB0"/>
    <w:rsid w:val="00224BBF"/>
    <w:rsid w:val="00226961"/>
    <w:rsid w:val="00227340"/>
    <w:rsid w:val="00227474"/>
    <w:rsid w:val="002316DA"/>
    <w:rsid w:val="0023292A"/>
    <w:rsid w:val="00232B58"/>
    <w:rsid w:val="00232DB7"/>
    <w:rsid w:val="00233080"/>
    <w:rsid w:val="00233610"/>
    <w:rsid w:val="002342D3"/>
    <w:rsid w:val="002349D7"/>
    <w:rsid w:val="0023544E"/>
    <w:rsid w:val="002368ED"/>
    <w:rsid w:val="00240B55"/>
    <w:rsid w:val="00240D82"/>
    <w:rsid w:val="002412CA"/>
    <w:rsid w:val="002416DF"/>
    <w:rsid w:val="00241745"/>
    <w:rsid w:val="00241DCE"/>
    <w:rsid w:val="002422B0"/>
    <w:rsid w:val="00242BD9"/>
    <w:rsid w:val="002434CA"/>
    <w:rsid w:val="0024415B"/>
    <w:rsid w:val="0024442C"/>
    <w:rsid w:val="00245539"/>
    <w:rsid w:val="00245720"/>
    <w:rsid w:val="00245788"/>
    <w:rsid w:val="0024645D"/>
    <w:rsid w:val="0024795E"/>
    <w:rsid w:val="00250A77"/>
    <w:rsid w:val="002510F9"/>
    <w:rsid w:val="0025280F"/>
    <w:rsid w:val="00252D68"/>
    <w:rsid w:val="002537EF"/>
    <w:rsid w:val="002539AC"/>
    <w:rsid w:val="00254B8C"/>
    <w:rsid w:val="00255045"/>
    <w:rsid w:val="00255063"/>
    <w:rsid w:val="00255BBF"/>
    <w:rsid w:val="002563F6"/>
    <w:rsid w:val="00256C61"/>
    <w:rsid w:val="00257EFB"/>
    <w:rsid w:val="002607E4"/>
    <w:rsid w:val="002607EC"/>
    <w:rsid w:val="00260AAC"/>
    <w:rsid w:val="00260D63"/>
    <w:rsid w:val="002619F7"/>
    <w:rsid w:val="0026286B"/>
    <w:rsid w:val="002647C1"/>
    <w:rsid w:val="00265083"/>
    <w:rsid w:val="00265717"/>
    <w:rsid w:val="0026594A"/>
    <w:rsid w:val="00265E1A"/>
    <w:rsid w:val="00266908"/>
    <w:rsid w:val="00266AD0"/>
    <w:rsid w:val="00266D36"/>
    <w:rsid w:val="00266FF6"/>
    <w:rsid w:val="002674A6"/>
    <w:rsid w:val="00267A1D"/>
    <w:rsid w:val="00270498"/>
    <w:rsid w:val="0027050D"/>
    <w:rsid w:val="00271488"/>
    <w:rsid w:val="002738E2"/>
    <w:rsid w:val="00273BAE"/>
    <w:rsid w:val="0027433C"/>
    <w:rsid w:val="0027579D"/>
    <w:rsid w:val="00276162"/>
    <w:rsid w:val="00276F9B"/>
    <w:rsid w:val="00277215"/>
    <w:rsid w:val="00277937"/>
    <w:rsid w:val="00280BDE"/>
    <w:rsid w:val="00282458"/>
    <w:rsid w:val="002825AF"/>
    <w:rsid w:val="0028261B"/>
    <w:rsid w:val="00283359"/>
    <w:rsid w:val="00283CC4"/>
    <w:rsid w:val="00283D6D"/>
    <w:rsid w:val="002850FD"/>
    <w:rsid w:val="002856D2"/>
    <w:rsid w:val="00285AA4"/>
    <w:rsid w:val="00285C95"/>
    <w:rsid w:val="002868BB"/>
    <w:rsid w:val="00286DCC"/>
    <w:rsid w:val="00286FCD"/>
    <w:rsid w:val="002903CD"/>
    <w:rsid w:val="00291F13"/>
    <w:rsid w:val="00291F97"/>
    <w:rsid w:val="002927B1"/>
    <w:rsid w:val="002928FC"/>
    <w:rsid w:val="00293A0E"/>
    <w:rsid w:val="00294A9E"/>
    <w:rsid w:val="002953EA"/>
    <w:rsid w:val="002953F7"/>
    <w:rsid w:val="00296797"/>
    <w:rsid w:val="00296961"/>
    <w:rsid w:val="002971DD"/>
    <w:rsid w:val="00297B43"/>
    <w:rsid w:val="002A0A15"/>
    <w:rsid w:val="002A29B5"/>
    <w:rsid w:val="002A3A6F"/>
    <w:rsid w:val="002A3D77"/>
    <w:rsid w:val="002A3DA2"/>
    <w:rsid w:val="002A4CD9"/>
    <w:rsid w:val="002A545B"/>
    <w:rsid w:val="002A61C0"/>
    <w:rsid w:val="002A6B04"/>
    <w:rsid w:val="002A6DDC"/>
    <w:rsid w:val="002A6E6B"/>
    <w:rsid w:val="002A6E82"/>
    <w:rsid w:val="002A709D"/>
    <w:rsid w:val="002A7410"/>
    <w:rsid w:val="002B05B0"/>
    <w:rsid w:val="002B1856"/>
    <w:rsid w:val="002B3864"/>
    <w:rsid w:val="002B3D62"/>
    <w:rsid w:val="002B5115"/>
    <w:rsid w:val="002B5568"/>
    <w:rsid w:val="002B57F2"/>
    <w:rsid w:val="002B58EE"/>
    <w:rsid w:val="002B6585"/>
    <w:rsid w:val="002B6822"/>
    <w:rsid w:val="002B7AB5"/>
    <w:rsid w:val="002B7F29"/>
    <w:rsid w:val="002C1760"/>
    <w:rsid w:val="002C291D"/>
    <w:rsid w:val="002C2B82"/>
    <w:rsid w:val="002C2EBA"/>
    <w:rsid w:val="002C2F5E"/>
    <w:rsid w:val="002C3607"/>
    <w:rsid w:val="002C3842"/>
    <w:rsid w:val="002C5A1B"/>
    <w:rsid w:val="002C5E15"/>
    <w:rsid w:val="002D0A9A"/>
    <w:rsid w:val="002D0BF6"/>
    <w:rsid w:val="002D0DE9"/>
    <w:rsid w:val="002D0F6D"/>
    <w:rsid w:val="002D0F8E"/>
    <w:rsid w:val="002D35DB"/>
    <w:rsid w:val="002D3645"/>
    <w:rsid w:val="002D3801"/>
    <w:rsid w:val="002D4BE8"/>
    <w:rsid w:val="002D52B5"/>
    <w:rsid w:val="002D55A7"/>
    <w:rsid w:val="002D5AC7"/>
    <w:rsid w:val="002D6035"/>
    <w:rsid w:val="002D785E"/>
    <w:rsid w:val="002D7E6D"/>
    <w:rsid w:val="002D7F06"/>
    <w:rsid w:val="002E0667"/>
    <w:rsid w:val="002E128E"/>
    <w:rsid w:val="002E13DB"/>
    <w:rsid w:val="002E2532"/>
    <w:rsid w:val="002E2EE8"/>
    <w:rsid w:val="002E35F8"/>
    <w:rsid w:val="002E3680"/>
    <w:rsid w:val="002E3FC4"/>
    <w:rsid w:val="002E5356"/>
    <w:rsid w:val="002E56CE"/>
    <w:rsid w:val="002E57D7"/>
    <w:rsid w:val="002E5D0D"/>
    <w:rsid w:val="002E5EA3"/>
    <w:rsid w:val="002E7B94"/>
    <w:rsid w:val="002E7DB5"/>
    <w:rsid w:val="002F130E"/>
    <w:rsid w:val="002F1703"/>
    <w:rsid w:val="002F376B"/>
    <w:rsid w:val="002F3BDB"/>
    <w:rsid w:val="002F3DD5"/>
    <w:rsid w:val="002F5404"/>
    <w:rsid w:val="002F5D3E"/>
    <w:rsid w:val="002F6E99"/>
    <w:rsid w:val="002F73B7"/>
    <w:rsid w:val="002F7E3F"/>
    <w:rsid w:val="00300336"/>
    <w:rsid w:val="00300FA7"/>
    <w:rsid w:val="00302A6D"/>
    <w:rsid w:val="00303DDC"/>
    <w:rsid w:val="0030429F"/>
    <w:rsid w:val="00304895"/>
    <w:rsid w:val="00305984"/>
    <w:rsid w:val="00305FC1"/>
    <w:rsid w:val="0030650B"/>
    <w:rsid w:val="00306B2B"/>
    <w:rsid w:val="00306C66"/>
    <w:rsid w:val="00306E7F"/>
    <w:rsid w:val="0031065D"/>
    <w:rsid w:val="00311132"/>
    <w:rsid w:val="003115D1"/>
    <w:rsid w:val="003115F0"/>
    <w:rsid w:val="0031242E"/>
    <w:rsid w:val="00313437"/>
    <w:rsid w:val="00313C8E"/>
    <w:rsid w:val="003156D9"/>
    <w:rsid w:val="00316476"/>
    <w:rsid w:val="003167F9"/>
    <w:rsid w:val="00317B9D"/>
    <w:rsid w:val="00320B34"/>
    <w:rsid w:val="003220AA"/>
    <w:rsid w:val="00322317"/>
    <w:rsid w:val="0032291F"/>
    <w:rsid w:val="003229B0"/>
    <w:rsid w:val="00322D14"/>
    <w:rsid w:val="00323468"/>
    <w:rsid w:val="00323539"/>
    <w:rsid w:val="0032462D"/>
    <w:rsid w:val="0032467F"/>
    <w:rsid w:val="00324840"/>
    <w:rsid w:val="00324F71"/>
    <w:rsid w:val="0032582F"/>
    <w:rsid w:val="003315B6"/>
    <w:rsid w:val="00331C5C"/>
    <w:rsid w:val="00332756"/>
    <w:rsid w:val="00332995"/>
    <w:rsid w:val="00332BE0"/>
    <w:rsid w:val="00332F5B"/>
    <w:rsid w:val="00333373"/>
    <w:rsid w:val="00334737"/>
    <w:rsid w:val="00335254"/>
    <w:rsid w:val="00335971"/>
    <w:rsid w:val="00337D04"/>
    <w:rsid w:val="00341182"/>
    <w:rsid w:val="003424B1"/>
    <w:rsid w:val="00342780"/>
    <w:rsid w:val="00343D54"/>
    <w:rsid w:val="00343DBE"/>
    <w:rsid w:val="003466E5"/>
    <w:rsid w:val="003475FB"/>
    <w:rsid w:val="00350001"/>
    <w:rsid w:val="0035053C"/>
    <w:rsid w:val="003525D9"/>
    <w:rsid w:val="00353293"/>
    <w:rsid w:val="003537B3"/>
    <w:rsid w:val="003538AD"/>
    <w:rsid w:val="00353962"/>
    <w:rsid w:val="003539AB"/>
    <w:rsid w:val="00353B4D"/>
    <w:rsid w:val="003541E6"/>
    <w:rsid w:val="003552CB"/>
    <w:rsid w:val="003554E5"/>
    <w:rsid w:val="00355B09"/>
    <w:rsid w:val="00357D83"/>
    <w:rsid w:val="0036077E"/>
    <w:rsid w:val="00360A3C"/>
    <w:rsid w:val="00360C8C"/>
    <w:rsid w:val="00361133"/>
    <w:rsid w:val="00361E9F"/>
    <w:rsid w:val="003621F0"/>
    <w:rsid w:val="00362B17"/>
    <w:rsid w:val="00364124"/>
    <w:rsid w:val="00365489"/>
    <w:rsid w:val="00365D32"/>
    <w:rsid w:val="0036710F"/>
    <w:rsid w:val="00367859"/>
    <w:rsid w:val="003679D7"/>
    <w:rsid w:val="003705D1"/>
    <w:rsid w:val="00370A34"/>
    <w:rsid w:val="00371A5E"/>
    <w:rsid w:val="003728E0"/>
    <w:rsid w:val="00372D2C"/>
    <w:rsid w:val="00372F55"/>
    <w:rsid w:val="00373421"/>
    <w:rsid w:val="00374602"/>
    <w:rsid w:val="003753D4"/>
    <w:rsid w:val="003761D5"/>
    <w:rsid w:val="00377EBC"/>
    <w:rsid w:val="00380069"/>
    <w:rsid w:val="00380259"/>
    <w:rsid w:val="00380FC9"/>
    <w:rsid w:val="00381BB3"/>
    <w:rsid w:val="00381EFD"/>
    <w:rsid w:val="003821B9"/>
    <w:rsid w:val="0038220C"/>
    <w:rsid w:val="003831F3"/>
    <w:rsid w:val="00385105"/>
    <w:rsid w:val="0038531E"/>
    <w:rsid w:val="00385CDA"/>
    <w:rsid w:val="00385EB3"/>
    <w:rsid w:val="00385ED9"/>
    <w:rsid w:val="00385FDD"/>
    <w:rsid w:val="00387392"/>
    <w:rsid w:val="0038753D"/>
    <w:rsid w:val="003902E5"/>
    <w:rsid w:val="00391765"/>
    <w:rsid w:val="00391BAD"/>
    <w:rsid w:val="00391D32"/>
    <w:rsid w:val="00391F83"/>
    <w:rsid w:val="00392319"/>
    <w:rsid w:val="00392BA6"/>
    <w:rsid w:val="00392C4B"/>
    <w:rsid w:val="00393635"/>
    <w:rsid w:val="00393828"/>
    <w:rsid w:val="00393D8E"/>
    <w:rsid w:val="003942DD"/>
    <w:rsid w:val="003961EB"/>
    <w:rsid w:val="003963F8"/>
    <w:rsid w:val="00396AC5"/>
    <w:rsid w:val="003A03BE"/>
    <w:rsid w:val="003A0463"/>
    <w:rsid w:val="003A0B28"/>
    <w:rsid w:val="003A1274"/>
    <w:rsid w:val="003A2463"/>
    <w:rsid w:val="003A2BAA"/>
    <w:rsid w:val="003A4997"/>
    <w:rsid w:val="003A49FD"/>
    <w:rsid w:val="003A4D3C"/>
    <w:rsid w:val="003A6D0C"/>
    <w:rsid w:val="003A7017"/>
    <w:rsid w:val="003A736C"/>
    <w:rsid w:val="003A7BCA"/>
    <w:rsid w:val="003B22BA"/>
    <w:rsid w:val="003B2782"/>
    <w:rsid w:val="003B2B7A"/>
    <w:rsid w:val="003B34D5"/>
    <w:rsid w:val="003B4539"/>
    <w:rsid w:val="003B4658"/>
    <w:rsid w:val="003B7904"/>
    <w:rsid w:val="003B7BFD"/>
    <w:rsid w:val="003C0089"/>
    <w:rsid w:val="003C06D9"/>
    <w:rsid w:val="003C1054"/>
    <w:rsid w:val="003C170B"/>
    <w:rsid w:val="003C2261"/>
    <w:rsid w:val="003C2E00"/>
    <w:rsid w:val="003C3EC5"/>
    <w:rsid w:val="003C4185"/>
    <w:rsid w:val="003C4F5A"/>
    <w:rsid w:val="003C5A40"/>
    <w:rsid w:val="003C76E4"/>
    <w:rsid w:val="003D19E2"/>
    <w:rsid w:val="003D294E"/>
    <w:rsid w:val="003D3B47"/>
    <w:rsid w:val="003D50D3"/>
    <w:rsid w:val="003D50DB"/>
    <w:rsid w:val="003D5CC0"/>
    <w:rsid w:val="003D752B"/>
    <w:rsid w:val="003E10D6"/>
    <w:rsid w:val="003E212C"/>
    <w:rsid w:val="003E21F1"/>
    <w:rsid w:val="003E24DD"/>
    <w:rsid w:val="003E317D"/>
    <w:rsid w:val="003E3361"/>
    <w:rsid w:val="003E37EA"/>
    <w:rsid w:val="003E3ADB"/>
    <w:rsid w:val="003E4741"/>
    <w:rsid w:val="003E49BA"/>
    <w:rsid w:val="003E4CED"/>
    <w:rsid w:val="003E5D9D"/>
    <w:rsid w:val="003E6DAF"/>
    <w:rsid w:val="003F0280"/>
    <w:rsid w:val="003F028D"/>
    <w:rsid w:val="003F04E2"/>
    <w:rsid w:val="003F13B1"/>
    <w:rsid w:val="003F16C2"/>
    <w:rsid w:val="003F1C66"/>
    <w:rsid w:val="003F245B"/>
    <w:rsid w:val="003F2497"/>
    <w:rsid w:val="003F323F"/>
    <w:rsid w:val="003F553D"/>
    <w:rsid w:val="003F5654"/>
    <w:rsid w:val="003F5DC5"/>
    <w:rsid w:val="003F5FA9"/>
    <w:rsid w:val="003F72F3"/>
    <w:rsid w:val="003F7485"/>
    <w:rsid w:val="004000DA"/>
    <w:rsid w:val="004000E6"/>
    <w:rsid w:val="0040138A"/>
    <w:rsid w:val="004014A0"/>
    <w:rsid w:val="00401843"/>
    <w:rsid w:val="0040306A"/>
    <w:rsid w:val="004047FE"/>
    <w:rsid w:val="00404AA1"/>
    <w:rsid w:val="004066E9"/>
    <w:rsid w:val="00407003"/>
    <w:rsid w:val="00407822"/>
    <w:rsid w:val="00410C05"/>
    <w:rsid w:val="0041127B"/>
    <w:rsid w:val="00411B70"/>
    <w:rsid w:val="00411FE0"/>
    <w:rsid w:val="0041207E"/>
    <w:rsid w:val="00414762"/>
    <w:rsid w:val="00414A9B"/>
    <w:rsid w:val="004158B0"/>
    <w:rsid w:val="00415AE3"/>
    <w:rsid w:val="00416655"/>
    <w:rsid w:val="00416774"/>
    <w:rsid w:val="00420EFD"/>
    <w:rsid w:val="00421A5D"/>
    <w:rsid w:val="00421EE2"/>
    <w:rsid w:val="00422A03"/>
    <w:rsid w:val="00425F40"/>
    <w:rsid w:val="00426083"/>
    <w:rsid w:val="00426113"/>
    <w:rsid w:val="004267F6"/>
    <w:rsid w:val="004268C9"/>
    <w:rsid w:val="00427DCF"/>
    <w:rsid w:val="00427F7D"/>
    <w:rsid w:val="00430D8F"/>
    <w:rsid w:val="00431695"/>
    <w:rsid w:val="004318AB"/>
    <w:rsid w:val="004327F0"/>
    <w:rsid w:val="00433090"/>
    <w:rsid w:val="00433718"/>
    <w:rsid w:val="00434207"/>
    <w:rsid w:val="0043448D"/>
    <w:rsid w:val="00434FB4"/>
    <w:rsid w:val="00435311"/>
    <w:rsid w:val="00435C1C"/>
    <w:rsid w:val="00435E59"/>
    <w:rsid w:val="00436E9C"/>
    <w:rsid w:val="00437B01"/>
    <w:rsid w:val="0044051C"/>
    <w:rsid w:val="004412E3"/>
    <w:rsid w:val="00442693"/>
    <w:rsid w:val="00442D10"/>
    <w:rsid w:val="00442DBB"/>
    <w:rsid w:val="00442EE4"/>
    <w:rsid w:val="00443A70"/>
    <w:rsid w:val="004448E4"/>
    <w:rsid w:val="0044588F"/>
    <w:rsid w:val="00445E69"/>
    <w:rsid w:val="00446E93"/>
    <w:rsid w:val="00447613"/>
    <w:rsid w:val="0044776D"/>
    <w:rsid w:val="00447A02"/>
    <w:rsid w:val="004503FB"/>
    <w:rsid w:val="0045041F"/>
    <w:rsid w:val="004505FE"/>
    <w:rsid w:val="00450793"/>
    <w:rsid w:val="004510AD"/>
    <w:rsid w:val="0045142B"/>
    <w:rsid w:val="004539B5"/>
    <w:rsid w:val="0045464E"/>
    <w:rsid w:val="00454727"/>
    <w:rsid w:val="0045477F"/>
    <w:rsid w:val="00454847"/>
    <w:rsid w:val="00454F1C"/>
    <w:rsid w:val="00455448"/>
    <w:rsid w:val="0045548B"/>
    <w:rsid w:val="0045580B"/>
    <w:rsid w:val="00456615"/>
    <w:rsid w:val="00456D0B"/>
    <w:rsid w:val="00457826"/>
    <w:rsid w:val="004612AA"/>
    <w:rsid w:val="00461A54"/>
    <w:rsid w:val="00462C6C"/>
    <w:rsid w:val="0046342C"/>
    <w:rsid w:val="004635B3"/>
    <w:rsid w:val="004636E6"/>
    <w:rsid w:val="0046554A"/>
    <w:rsid w:val="00465892"/>
    <w:rsid w:val="00466A51"/>
    <w:rsid w:val="00467827"/>
    <w:rsid w:val="00470B87"/>
    <w:rsid w:val="00473903"/>
    <w:rsid w:val="0047405D"/>
    <w:rsid w:val="00476EDC"/>
    <w:rsid w:val="004771F8"/>
    <w:rsid w:val="00477489"/>
    <w:rsid w:val="00477798"/>
    <w:rsid w:val="0047782C"/>
    <w:rsid w:val="00480055"/>
    <w:rsid w:val="00480579"/>
    <w:rsid w:val="0048175C"/>
    <w:rsid w:val="004834A2"/>
    <w:rsid w:val="00483753"/>
    <w:rsid w:val="004847CB"/>
    <w:rsid w:val="00484A49"/>
    <w:rsid w:val="00484DA0"/>
    <w:rsid w:val="00486847"/>
    <w:rsid w:val="004868A7"/>
    <w:rsid w:val="00486E6B"/>
    <w:rsid w:val="00487E4C"/>
    <w:rsid w:val="00491533"/>
    <w:rsid w:val="00491C52"/>
    <w:rsid w:val="004922FE"/>
    <w:rsid w:val="00493813"/>
    <w:rsid w:val="00493B1C"/>
    <w:rsid w:val="00493D17"/>
    <w:rsid w:val="00494058"/>
    <w:rsid w:val="00495B83"/>
    <w:rsid w:val="00495C1C"/>
    <w:rsid w:val="00496E52"/>
    <w:rsid w:val="004A04A5"/>
    <w:rsid w:val="004A0F29"/>
    <w:rsid w:val="004A1703"/>
    <w:rsid w:val="004A297D"/>
    <w:rsid w:val="004A2C25"/>
    <w:rsid w:val="004A3489"/>
    <w:rsid w:val="004A3C0F"/>
    <w:rsid w:val="004A3C87"/>
    <w:rsid w:val="004A50BF"/>
    <w:rsid w:val="004A6065"/>
    <w:rsid w:val="004A61AF"/>
    <w:rsid w:val="004A7223"/>
    <w:rsid w:val="004A723D"/>
    <w:rsid w:val="004A7A83"/>
    <w:rsid w:val="004B0280"/>
    <w:rsid w:val="004B10F1"/>
    <w:rsid w:val="004B175A"/>
    <w:rsid w:val="004B1A13"/>
    <w:rsid w:val="004B2DC7"/>
    <w:rsid w:val="004B3093"/>
    <w:rsid w:val="004B3849"/>
    <w:rsid w:val="004B510A"/>
    <w:rsid w:val="004B5883"/>
    <w:rsid w:val="004B5C1E"/>
    <w:rsid w:val="004B5D05"/>
    <w:rsid w:val="004B64B4"/>
    <w:rsid w:val="004B7673"/>
    <w:rsid w:val="004B7FEE"/>
    <w:rsid w:val="004C0324"/>
    <w:rsid w:val="004C0EEC"/>
    <w:rsid w:val="004C1729"/>
    <w:rsid w:val="004C318D"/>
    <w:rsid w:val="004C5E56"/>
    <w:rsid w:val="004C661B"/>
    <w:rsid w:val="004C6920"/>
    <w:rsid w:val="004C6ADF"/>
    <w:rsid w:val="004C6C87"/>
    <w:rsid w:val="004C721C"/>
    <w:rsid w:val="004D0D84"/>
    <w:rsid w:val="004D1054"/>
    <w:rsid w:val="004D16AD"/>
    <w:rsid w:val="004D217C"/>
    <w:rsid w:val="004D2193"/>
    <w:rsid w:val="004D2540"/>
    <w:rsid w:val="004D35D5"/>
    <w:rsid w:val="004D3913"/>
    <w:rsid w:val="004D444F"/>
    <w:rsid w:val="004D446B"/>
    <w:rsid w:val="004D46D6"/>
    <w:rsid w:val="004D4755"/>
    <w:rsid w:val="004D48DE"/>
    <w:rsid w:val="004D56CC"/>
    <w:rsid w:val="004D64CF"/>
    <w:rsid w:val="004D6E0B"/>
    <w:rsid w:val="004D72DB"/>
    <w:rsid w:val="004E21D4"/>
    <w:rsid w:val="004E2B0E"/>
    <w:rsid w:val="004E3053"/>
    <w:rsid w:val="004E341F"/>
    <w:rsid w:val="004E36A0"/>
    <w:rsid w:val="004E3836"/>
    <w:rsid w:val="004E3D76"/>
    <w:rsid w:val="004E43F0"/>
    <w:rsid w:val="004E46CA"/>
    <w:rsid w:val="004E5170"/>
    <w:rsid w:val="004E56FC"/>
    <w:rsid w:val="004E58E9"/>
    <w:rsid w:val="004E6C19"/>
    <w:rsid w:val="004E6C1C"/>
    <w:rsid w:val="004E701E"/>
    <w:rsid w:val="004F0797"/>
    <w:rsid w:val="004F08C7"/>
    <w:rsid w:val="004F101B"/>
    <w:rsid w:val="004F18D6"/>
    <w:rsid w:val="004F1D4B"/>
    <w:rsid w:val="004F20DE"/>
    <w:rsid w:val="004F2C0C"/>
    <w:rsid w:val="004F3079"/>
    <w:rsid w:val="004F33D8"/>
    <w:rsid w:val="004F439F"/>
    <w:rsid w:val="004F532B"/>
    <w:rsid w:val="004F578E"/>
    <w:rsid w:val="004F6AE8"/>
    <w:rsid w:val="004F7132"/>
    <w:rsid w:val="004F7541"/>
    <w:rsid w:val="004F7B3A"/>
    <w:rsid w:val="00500131"/>
    <w:rsid w:val="005009BC"/>
    <w:rsid w:val="00501561"/>
    <w:rsid w:val="00502335"/>
    <w:rsid w:val="00502362"/>
    <w:rsid w:val="005030D2"/>
    <w:rsid w:val="00504B9F"/>
    <w:rsid w:val="0050524E"/>
    <w:rsid w:val="00505489"/>
    <w:rsid w:val="005069DB"/>
    <w:rsid w:val="005071E0"/>
    <w:rsid w:val="005072FA"/>
    <w:rsid w:val="0051094D"/>
    <w:rsid w:val="00510977"/>
    <w:rsid w:val="00510E6F"/>
    <w:rsid w:val="00511583"/>
    <w:rsid w:val="005141BA"/>
    <w:rsid w:val="0051592C"/>
    <w:rsid w:val="00516991"/>
    <w:rsid w:val="00516B28"/>
    <w:rsid w:val="00521162"/>
    <w:rsid w:val="00521B1D"/>
    <w:rsid w:val="00521B96"/>
    <w:rsid w:val="00522DCF"/>
    <w:rsid w:val="00523E08"/>
    <w:rsid w:val="00523E38"/>
    <w:rsid w:val="00524284"/>
    <w:rsid w:val="00524E0C"/>
    <w:rsid w:val="005261BF"/>
    <w:rsid w:val="005269FC"/>
    <w:rsid w:val="00526A7B"/>
    <w:rsid w:val="00526C1F"/>
    <w:rsid w:val="00527056"/>
    <w:rsid w:val="00527515"/>
    <w:rsid w:val="00530D11"/>
    <w:rsid w:val="005322A0"/>
    <w:rsid w:val="0053270D"/>
    <w:rsid w:val="0053388C"/>
    <w:rsid w:val="00533C4F"/>
    <w:rsid w:val="005355A0"/>
    <w:rsid w:val="0053566F"/>
    <w:rsid w:val="00535797"/>
    <w:rsid w:val="005379F8"/>
    <w:rsid w:val="00537E16"/>
    <w:rsid w:val="005414F0"/>
    <w:rsid w:val="005420C8"/>
    <w:rsid w:val="0054255C"/>
    <w:rsid w:val="005425B4"/>
    <w:rsid w:val="0054293E"/>
    <w:rsid w:val="00544AB7"/>
    <w:rsid w:val="00547DD5"/>
    <w:rsid w:val="00550090"/>
    <w:rsid w:val="005500C7"/>
    <w:rsid w:val="00551558"/>
    <w:rsid w:val="0055181F"/>
    <w:rsid w:val="005519B2"/>
    <w:rsid w:val="005524CB"/>
    <w:rsid w:val="00552967"/>
    <w:rsid w:val="00552EAD"/>
    <w:rsid w:val="005546B4"/>
    <w:rsid w:val="00554B8F"/>
    <w:rsid w:val="0055553F"/>
    <w:rsid w:val="0055593A"/>
    <w:rsid w:val="005566FC"/>
    <w:rsid w:val="0055684C"/>
    <w:rsid w:val="00556EE3"/>
    <w:rsid w:val="00560695"/>
    <w:rsid w:val="005619BF"/>
    <w:rsid w:val="0056475A"/>
    <w:rsid w:val="00564D56"/>
    <w:rsid w:val="00566949"/>
    <w:rsid w:val="00566CAF"/>
    <w:rsid w:val="005672CD"/>
    <w:rsid w:val="00571DD7"/>
    <w:rsid w:val="00575AC5"/>
    <w:rsid w:val="00576186"/>
    <w:rsid w:val="00576B8A"/>
    <w:rsid w:val="00576E8A"/>
    <w:rsid w:val="005801C3"/>
    <w:rsid w:val="005828E1"/>
    <w:rsid w:val="00583BB3"/>
    <w:rsid w:val="00584EB9"/>
    <w:rsid w:val="005850C2"/>
    <w:rsid w:val="0058577E"/>
    <w:rsid w:val="00590669"/>
    <w:rsid w:val="00592414"/>
    <w:rsid w:val="005936CA"/>
    <w:rsid w:val="0059458B"/>
    <w:rsid w:val="00594977"/>
    <w:rsid w:val="00594FE2"/>
    <w:rsid w:val="005A01CB"/>
    <w:rsid w:val="005A054C"/>
    <w:rsid w:val="005A0CE4"/>
    <w:rsid w:val="005A181E"/>
    <w:rsid w:val="005A1D36"/>
    <w:rsid w:val="005A1EA6"/>
    <w:rsid w:val="005A2418"/>
    <w:rsid w:val="005A255E"/>
    <w:rsid w:val="005A2CAC"/>
    <w:rsid w:val="005A3144"/>
    <w:rsid w:val="005A3342"/>
    <w:rsid w:val="005A6261"/>
    <w:rsid w:val="005A6290"/>
    <w:rsid w:val="005A6D42"/>
    <w:rsid w:val="005A724F"/>
    <w:rsid w:val="005A7927"/>
    <w:rsid w:val="005A7BD8"/>
    <w:rsid w:val="005A7DEF"/>
    <w:rsid w:val="005A7EB5"/>
    <w:rsid w:val="005B0657"/>
    <w:rsid w:val="005B0873"/>
    <w:rsid w:val="005B1870"/>
    <w:rsid w:val="005B1A8D"/>
    <w:rsid w:val="005B1AC7"/>
    <w:rsid w:val="005B1BB7"/>
    <w:rsid w:val="005B2376"/>
    <w:rsid w:val="005B2674"/>
    <w:rsid w:val="005B4240"/>
    <w:rsid w:val="005B45CB"/>
    <w:rsid w:val="005B4B30"/>
    <w:rsid w:val="005B5331"/>
    <w:rsid w:val="005B5BDC"/>
    <w:rsid w:val="005B5C9C"/>
    <w:rsid w:val="005B6456"/>
    <w:rsid w:val="005B754C"/>
    <w:rsid w:val="005B7F0C"/>
    <w:rsid w:val="005C17AB"/>
    <w:rsid w:val="005C1BD8"/>
    <w:rsid w:val="005C1DBA"/>
    <w:rsid w:val="005C205A"/>
    <w:rsid w:val="005C2D5C"/>
    <w:rsid w:val="005C311C"/>
    <w:rsid w:val="005C38EF"/>
    <w:rsid w:val="005C503B"/>
    <w:rsid w:val="005C51C8"/>
    <w:rsid w:val="005C544A"/>
    <w:rsid w:val="005C5B26"/>
    <w:rsid w:val="005C5CC2"/>
    <w:rsid w:val="005C60A4"/>
    <w:rsid w:val="005C777C"/>
    <w:rsid w:val="005C7B95"/>
    <w:rsid w:val="005C7C4B"/>
    <w:rsid w:val="005D024D"/>
    <w:rsid w:val="005D0A5D"/>
    <w:rsid w:val="005D0A5F"/>
    <w:rsid w:val="005D0A78"/>
    <w:rsid w:val="005D1A88"/>
    <w:rsid w:val="005D1D95"/>
    <w:rsid w:val="005D2587"/>
    <w:rsid w:val="005D27F2"/>
    <w:rsid w:val="005D55BC"/>
    <w:rsid w:val="005D5911"/>
    <w:rsid w:val="005D630D"/>
    <w:rsid w:val="005D6CC8"/>
    <w:rsid w:val="005D78D8"/>
    <w:rsid w:val="005D7AC3"/>
    <w:rsid w:val="005E0134"/>
    <w:rsid w:val="005E1859"/>
    <w:rsid w:val="005E1D72"/>
    <w:rsid w:val="005E28E6"/>
    <w:rsid w:val="005E2CDC"/>
    <w:rsid w:val="005E3782"/>
    <w:rsid w:val="005E5FBD"/>
    <w:rsid w:val="005E674A"/>
    <w:rsid w:val="005E73E0"/>
    <w:rsid w:val="005E77F3"/>
    <w:rsid w:val="005E7930"/>
    <w:rsid w:val="005F0365"/>
    <w:rsid w:val="005F0905"/>
    <w:rsid w:val="005F13CA"/>
    <w:rsid w:val="005F15F7"/>
    <w:rsid w:val="005F2993"/>
    <w:rsid w:val="005F2BC7"/>
    <w:rsid w:val="005F2CCF"/>
    <w:rsid w:val="005F3195"/>
    <w:rsid w:val="005F4036"/>
    <w:rsid w:val="005F42B2"/>
    <w:rsid w:val="005F43D5"/>
    <w:rsid w:val="005F4C17"/>
    <w:rsid w:val="005F5649"/>
    <w:rsid w:val="006009C6"/>
    <w:rsid w:val="00603FAD"/>
    <w:rsid w:val="0060479A"/>
    <w:rsid w:val="006048C4"/>
    <w:rsid w:val="00605193"/>
    <w:rsid w:val="006052B7"/>
    <w:rsid w:val="0060549B"/>
    <w:rsid w:val="00605AEC"/>
    <w:rsid w:val="00605E6B"/>
    <w:rsid w:val="00605FF1"/>
    <w:rsid w:val="006063A5"/>
    <w:rsid w:val="006069A4"/>
    <w:rsid w:val="006070E7"/>
    <w:rsid w:val="00607CB3"/>
    <w:rsid w:val="00610589"/>
    <w:rsid w:val="00610B6A"/>
    <w:rsid w:val="00610FF3"/>
    <w:rsid w:val="00612033"/>
    <w:rsid w:val="00612318"/>
    <w:rsid w:val="00612929"/>
    <w:rsid w:val="00613914"/>
    <w:rsid w:val="00613D39"/>
    <w:rsid w:val="00613F7F"/>
    <w:rsid w:val="0061420B"/>
    <w:rsid w:val="00614636"/>
    <w:rsid w:val="00614EA0"/>
    <w:rsid w:val="00615480"/>
    <w:rsid w:val="00615942"/>
    <w:rsid w:val="006162EA"/>
    <w:rsid w:val="006166A2"/>
    <w:rsid w:val="00616EA8"/>
    <w:rsid w:val="00616FC1"/>
    <w:rsid w:val="00617777"/>
    <w:rsid w:val="00617CD4"/>
    <w:rsid w:val="00620063"/>
    <w:rsid w:val="006200F9"/>
    <w:rsid w:val="00620234"/>
    <w:rsid w:val="0062038B"/>
    <w:rsid w:val="00620C96"/>
    <w:rsid w:val="00620F13"/>
    <w:rsid w:val="00621E61"/>
    <w:rsid w:val="006226E1"/>
    <w:rsid w:val="00623C86"/>
    <w:rsid w:val="0062470A"/>
    <w:rsid w:val="00624B6B"/>
    <w:rsid w:val="006257DB"/>
    <w:rsid w:val="00625A93"/>
    <w:rsid w:val="00626D4C"/>
    <w:rsid w:val="00626F80"/>
    <w:rsid w:val="0062737C"/>
    <w:rsid w:val="00630012"/>
    <w:rsid w:val="006300A2"/>
    <w:rsid w:val="00630844"/>
    <w:rsid w:val="00630941"/>
    <w:rsid w:val="00631F79"/>
    <w:rsid w:val="006324AD"/>
    <w:rsid w:val="00633072"/>
    <w:rsid w:val="00633182"/>
    <w:rsid w:val="00633584"/>
    <w:rsid w:val="00633F2E"/>
    <w:rsid w:val="006341F7"/>
    <w:rsid w:val="00634360"/>
    <w:rsid w:val="00636246"/>
    <w:rsid w:val="006377B6"/>
    <w:rsid w:val="00640907"/>
    <w:rsid w:val="0064092E"/>
    <w:rsid w:val="006409E8"/>
    <w:rsid w:val="00640CDF"/>
    <w:rsid w:val="0064131F"/>
    <w:rsid w:val="00641368"/>
    <w:rsid w:val="00641A49"/>
    <w:rsid w:val="0064251F"/>
    <w:rsid w:val="00642BD9"/>
    <w:rsid w:val="0064381C"/>
    <w:rsid w:val="00644A16"/>
    <w:rsid w:val="00645D0C"/>
    <w:rsid w:val="00646459"/>
    <w:rsid w:val="00646D48"/>
    <w:rsid w:val="006476D8"/>
    <w:rsid w:val="00650174"/>
    <w:rsid w:val="00650661"/>
    <w:rsid w:val="006507B6"/>
    <w:rsid w:val="0065268A"/>
    <w:rsid w:val="00652A56"/>
    <w:rsid w:val="0065351D"/>
    <w:rsid w:val="00653897"/>
    <w:rsid w:val="006541C8"/>
    <w:rsid w:val="00655F0E"/>
    <w:rsid w:val="0065645C"/>
    <w:rsid w:val="006571B5"/>
    <w:rsid w:val="00657302"/>
    <w:rsid w:val="006603AD"/>
    <w:rsid w:val="00660A97"/>
    <w:rsid w:val="00661970"/>
    <w:rsid w:val="0066224A"/>
    <w:rsid w:val="00662A35"/>
    <w:rsid w:val="00664A40"/>
    <w:rsid w:val="00664D4F"/>
    <w:rsid w:val="00664DC7"/>
    <w:rsid w:val="00666344"/>
    <w:rsid w:val="00666AA0"/>
    <w:rsid w:val="00666DAE"/>
    <w:rsid w:val="00667868"/>
    <w:rsid w:val="00667C90"/>
    <w:rsid w:val="00670111"/>
    <w:rsid w:val="006703AB"/>
    <w:rsid w:val="0067057E"/>
    <w:rsid w:val="0067099C"/>
    <w:rsid w:val="006714F3"/>
    <w:rsid w:val="00671B21"/>
    <w:rsid w:val="00671CEC"/>
    <w:rsid w:val="00671FCA"/>
    <w:rsid w:val="006721A4"/>
    <w:rsid w:val="0067273B"/>
    <w:rsid w:val="006728AE"/>
    <w:rsid w:val="00672EE4"/>
    <w:rsid w:val="00672EE5"/>
    <w:rsid w:val="006731B7"/>
    <w:rsid w:val="00673A35"/>
    <w:rsid w:val="00674280"/>
    <w:rsid w:val="006748EF"/>
    <w:rsid w:val="00674AF7"/>
    <w:rsid w:val="00674E2C"/>
    <w:rsid w:val="00676B43"/>
    <w:rsid w:val="00677042"/>
    <w:rsid w:val="00680024"/>
    <w:rsid w:val="00682276"/>
    <w:rsid w:val="0068312E"/>
    <w:rsid w:val="00683ABC"/>
    <w:rsid w:val="00684F40"/>
    <w:rsid w:val="006859F6"/>
    <w:rsid w:val="00685F42"/>
    <w:rsid w:val="0068684A"/>
    <w:rsid w:val="00686EB4"/>
    <w:rsid w:val="00687FBC"/>
    <w:rsid w:val="006907F2"/>
    <w:rsid w:val="00690B6F"/>
    <w:rsid w:val="00691B3A"/>
    <w:rsid w:val="0069245E"/>
    <w:rsid w:val="00692DA9"/>
    <w:rsid w:val="00693E1B"/>
    <w:rsid w:val="0069456C"/>
    <w:rsid w:val="006978C8"/>
    <w:rsid w:val="00697E6A"/>
    <w:rsid w:val="006A06A5"/>
    <w:rsid w:val="006A0B79"/>
    <w:rsid w:val="006A270A"/>
    <w:rsid w:val="006A318E"/>
    <w:rsid w:val="006A3550"/>
    <w:rsid w:val="006A4649"/>
    <w:rsid w:val="006A4F11"/>
    <w:rsid w:val="006A6541"/>
    <w:rsid w:val="006B0B0B"/>
    <w:rsid w:val="006B136B"/>
    <w:rsid w:val="006B18F4"/>
    <w:rsid w:val="006B23FF"/>
    <w:rsid w:val="006B2FDE"/>
    <w:rsid w:val="006B5322"/>
    <w:rsid w:val="006B5494"/>
    <w:rsid w:val="006B6161"/>
    <w:rsid w:val="006B6AB9"/>
    <w:rsid w:val="006B6C60"/>
    <w:rsid w:val="006B7C56"/>
    <w:rsid w:val="006C149B"/>
    <w:rsid w:val="006C19F4"/>
    <w:rsid w:val="006C3124"/>
    <w:rsid w:val="006C3A4B"/>
    <w:rsid w:val="006C4CA3"/>
    <w:rsid w:val="006C5475"/>
    <w:rsid w:val="006C643F"/>
    <w:rsid w:val="006D0B67"/>
    <w:rsid w:val="006D22E9"/>
    <w:rsid w:val="006D308F"/>
    <w:rsid w:val="006D38A0"/>
    <w:rsid w:val="006D5A80"/>
    <w:rsid w:val="006D5DE9"/>
    <w:rsid w:val="006D5F8F"/>
    <w:rsid w:val="006D61F8"/>
    <w:rsid w:val="006D746C"/>
    <w:rsid w:val="006D7E89"/>
    <w:rsid w:val="006E0F52"/>
    <w:rsid w:val="006E1B6D"/>
    <w:rsid w:val="006E1DE1"/>
    <w:rsid w:val="006E445E"/>
    <w:rsid w:val="006E45F7"/>
    <w:rsid w:val="006E4E8B"/>
    <w:rsid w:val="006E5106"/>
    <w:rsid w:val="006E5218"/>
    <w:rsid w:val="006E529F"/>
    <w:rsid w:val="006E61B6"/>
    <w:rsid w:val="006E75CD"/>
    <w:rsid w:val="006E7652"/>
    <w:rsid w:val="006E79D2"/>
    <w:rsid w:val="006F1393"/>
    <w:rsid w:val="006F1F2D"/>
    <w:rsid w:val="006F34C9"/>
    <w:rsid w:val="006F459D"/>
    <w:rsid w:val="006F5154"/>
    <w:rsid w:val="006F592D"/>
    <w:rsid w:val="006F63FE"/>
    <w:rsid w:val="006F6ADF"/>
    <w:rsid w:val="006F727D"/>
    <w:rsid w:val="006F7ACD"/>
    <w:rsid w:val="0070093C"/>
    <w:rsid w:val="0070147D"/>
    <w:rsid w:val="00701862"/>
    <w:rsid w:val="00702EE0"/>
    <w:rsid w:val="00703B0F"/>
    <w:rsid w:val="00704E57"/>
    <w:rsid w:val="00705CAE"/>
    <w:rsid w:val="00706368"/>
    <w:rsid w:val="007065CA"/>
    <w:rsid w:val="007071D3"/>
    <w:rsid w:val="007073EC"/>
    <w:rsid w:val="00707411"/>
    <w:rsid w:val="00710D8B"/>
    <w:rsid w:val="00711247"/>
    <w:rsid w:val="0071163D"/>
    <w:rsid w:val="00712734"/>
    <w:rsid w:val="00712A3A"/>
    <w:rsid w:val="00712AD9"/>
    <w:rsid w:val="00712D8A"/>
    <w:rsid w:val="007134CC"/>
    <w:rsid w:val="0071442B"/>
    <w:rsid w:val="00714C20"/>
    <w:rsid w:val="00715084"/>
    <w:rsid w:val="00716E1C"/>
    <w:rsid w:val="00720139"/>
    <w:rsid w:val="0072065A"/>
    <w:rsid w:val="00721864"/>
    <w:rsid w:val="00721DCB"/>
    <w:rsid w:val="00721E19"/>
    <w:rsid w:val="007222FA"/>
    <w:rsid w:val="00723A0D"/>
    <w:rsid w:val="00723EDD"/>
    <w:rsid w:val="00723FD7"/>
    <w:rsid w:val="0072437B"/>
    <w:rsid w:val="00724C6E"/>
    <w:rsid w:val="00724F86"/>
    <w:rsid w:val="007254CC"/>
    <w:rsid w:val="007256C8"/>
    <w:rsid w:val="00725790"/>
    <w:rsid w:val="00725FBA"/>
    <w:rsid w:val="00726F5D"/>
    <w:rsid w:val="00727130"/>
    <w:rsid w:val="0072734A"/>
    <w:rsid w:val="007277B6"/>
    <w:rsid w:val="00727C6B"/>
    <w:rsid w:val="00730A35"/>
    <w:rsid w:val="00731ABB"/>
    <w:rsid w:val="00732010"/>
    <w:rsid w:val="0073204A"/>
    <w:rsid w:val="00732475"/>
    <w:rsid w:val="00732FEF"/>
    <w:rsid w:val="00733C87"/>
    <w:rsid w:val="0073433D"/>
    <w:rsid w:val="00735854"/>
    <w:rsid w:val="00735A66"/>
    <w:rsid w:val="00735BAD"/>
    <w:rsid w:val="00735CDE"/>
    <w:rsid w:val="0073652A"/>
    <w:rsid w:val="00740751"/>
    <w:rsid w:val="00740B0A"/>
    <w:rsid w:val="0074140C"/>
    <w:rsid w:val="00741880"/>
    <w:rsid w:val="00741F37"/>
    <w:rsid w:val="00742CA0"/>
    <w:rsid w:val="0074393A"/>
    <w:rsid w:val="00743B21"/>
    <w:rsid w:val="00743ED3"/>
    <w:rsid w:val="00743FCD"/>
    <w:rsid w:val="007462E1"/>
    <w:rsid w:val="00746440"/>
    <w:rsid w:val="007465FC"/>
    <w:rsid w:val="00747577"/>
    <w:rsid w:val="007478D5"/>
    <w:rsid w:val="007479ED"/>
    <w:rsid w:val="007508CB"/>
    <w:rsid w:val="00751C65"/>
    <w:rsid w:val="007545B3"/>
    <w:rsid w:val="007547C7"/>
    <w:rsid w:val="00754B84"/>
    <w:rsid w:val="00755873"/>
    <w:rsid w:val="00756842"/>
    <w:rsid w:val="00756B87"/>
    <w:rsid w:val="00756CEB"/>
    <w:rsid w:val="007573CE"/>
    <w:rsid w:val="00757772"/>
    <w:rsid w:val="007600BF"/>
    <w:rsid w:val="00760830"/>
    <w:rsid w:val="00761505"/>
    <w:rsid w:val="00761924"/>
    <w:rsid w:val="0076377F"/>
    <w:rsid w:val="007642C3"/>
    <w:rsid w:val="007650B8"/>
    <w:rsid w:val="00765224"/>
    <w:rsid w:val="00765459"/>
    <w:rsid w:val="00765629"/>
    <w:rsid w:val="00766DF3"/>
    <w:rsid w:val="00766F30"/>
    <w:rsid w:val="00767387"/>
    <w:rsid w:val="0076765E"/>
    <w:rsid w:val="00773A30"/>
    <w:rsid w:val="00774BE0"/>
    <w:rsid w:val="00774E6A"/>
    <w:rsid w:val="00774F22"/>
    <w:rsid w:val="0077542A"/>
    <w:rsid w:val="007760E6"/>
    <w:rsid w:val="00776604"/>
    <w:rsid w:val="00776B5C"/>
    <w:rsid w:val="007801AB"/>
    <w:rsid w:val="007807B9"/>
    <w:rsid w:val="00781C9F"/>
    <w:rsid w:val="0078214D"/>
    <w:rsid w:val="00782ABD"/>
    <w:rsid w:val="0078378D"/>
    <w:rsid w:val="00783E2E"/>
    <w:rsid w:val="00784116"/>
    <w:rsid w:val="00784528"/>
    <w:rsid w:val="00784D69"/>
    <w:rsid w:val="00785981"/>
    <w:rsid w:val="00785E88"/>
    <w:rsid w:val="007860D9"/>
    <w:rsid w:val="00786827"/>
    <w:rsid w:val="0078727E"/>
    <w:rsid w:val="007903FC"/>
    <w:rsid w:val="00792071"/>
    <w:rsid w:val="00793DB2"/>
    <w:rsid w:val="00793F0A"/>
    <w:rsid w:val="00796644"/>
    <w:rsid w:val="0079718A"/>
    <w:rsid w:val="00797314"/>
    <w:rsid w:val="007A1069"/>
    <w:rsid w:val="007A1E46"/>
    <w:rsid w:val="007A1F36"/>
    <w:rsid w:val="007A312A"/>
    <w:rsid w:val="007A3790"/>
    <w:rsid w:val="007A40DA"/>
    <w:rsid w:val="007A4ACE"/>
    <w:rsid w:val="007A52E7"/>
    <w:rsid w:val="007A57D9"/>
    <w:rsid w:val="007A719B"/>
    <w:rsid w:val="007A7D7C"/>
    <w:rsid w:val="007B03BD"/>
    <w:rsid w:val="007B06F5"/>
    <w:rsid w:val="007B0938"/>
    <w:rsid w:val="007B0B6A"/>
    <w:rsid w:val="007B24C1"/>
    <w:rsid w:val="007B450D"/>
    <w:rsid w:val="007B5042"/>
    <w:rsid w:val="007B51AB"/>
    <w:rsid w:val="007B7234"/>
    <w:rsid w:val="007B7D56"/>
    <w:rsid w:val="007C0138"/>
    <w:rsid w:val="007C143E"/>
    <w:rsid w:val="007C1452"/>
    <w:rsid w:val="007C28C5"/>
    <w:rsid w:val="007C2AD8"/>
    <w:rsid w:val="007C4555"/>
    <w:rsid w:val="007C517F"/>
    <w:rsid w:val="007C57E2"/>
    <w:rsid w:val="007C65B9"/>
    <w:rsid w:val="007D10C5"/>
    <w:rsid w:val="007D1BF3"/>
    <w:rsid w:val="007D3752"/>
    <w:rsid w:val="007D3822"/>
    <w:rsid w:val="007D469A"/>
    <w:rsid w:val="007D4867"/>
    <w:rsid w:val="007D4B25"/>
    <w:rsid w:val="007D56C4"/>
    <w:rsid w:val="007D6175"/>
    <w:rsid w:val="007D62DA"/>
    <w:rsid w:val="007D6B68"/>
    <w:rsid w:val="007D7F7C"/>
    <w:rsid w:val="007E1F11"/>
    <w:rsid w:val="007E21F7"/>
    <w:rsid w:val="007E226E"/>
    <w:rsid w:val="007E24A6"/>
    <w:rsid w:val="007E2705"/>
    <w:rsid w:val="007E2A97"/>
    <w:rsid w:val="007E4BA9"/>
    <w:rsid w:val="007E4BF2"/>
    <w:rsid w:val="007E5BA6"/>
    <w:rsid w:val="007E5D2C"/>
    <w:rsid w:val="007E6BA6"/>
    <w:rsid w:val="007F1354"/>
    <w:rsid w:val="007F1497"/>
    <w:rsid w:val="007F1C40"/>
    <w:rsid w:val="007F1EFA"/>
    <w:rsid w:val="007F2162"/>
    <w:rsid w:val="007F34EF"/>
    <w:rsid w:val="007F3F48"/>
    <w:rsid w:val="007F4809"/>
    <w:rsid w:val="007F5878"/>
    <w:rsid w:val="007F5B8F"/>
    <w:rsid w:val="007F63DA"/>
    <w:rsid w:val="007F6455"/>
    <w:rsid w:val="007F7F6B"/>
    <w:rsid w:val="00801A71"/>
    <w:rsid w:val="0080349B"/>
    <w:rsid w:val="008036B6"/>
    <w:rsid w:val="008057D0"/>
    <w:rsid w:val="00805AF7"/>
    <w:rsid w:val="00807947"/>
    <w:rsid w:val="00807CEA"/>
    <w:rsid w:val="00810AB5"/>
    <w:rsid w:val="00810E57"/>
    <w:rsid w:val="0081105A"/>
    <w:rsid w:val="008117BF"/>
    <w:rsid w:val="00811F52"/>
    <w:rsid w:val="0081234C"/>
    <w:rsid w:val="00812E82"/>
    <w:rsid w:val="00813D20"/>
    <w:rsid w:val="0081451D"/>
    <w:rsid w:val="008148D8"/>
    <w:rsid w:val="00815785"/>
    <w:rsid w:val="0081655B"/>
    <w:rsid w:val="008171F6"/>
    <w:rsid w:val="008200AB"/>
    <w:rsid w:val="00820515"/>
    <w:rsid w:val="00820844"/>
    <w:rsid w:val="00820D09"/>
    <w:rsid w:val="00822B8B"/>
    <w:rsid w:val="00823094"/>
    <w:rsid w:val="008233B7"/>
    <w:rsid w:val="00823F1B"/>
    <w:rsid w:val="00824369"/>
    <w:rsid w:val="00826526"/>
    <w:rsid w:val="00830948"/>
    <w:rsid w:val="00831349"/>
    <w:rsid w:val="00832207"/>
    <w:rsid w:val="00832295"/>
    <w:rsid w:val="00832D66"/>
    <w:rsid w:val="008352DF"/>
    <w:rsid w:val="00835A16"/>
    <w:rsid w:val="008364B5"/>
    <w:rsid w:val="00837904"/>
    <w:rsid w:val="00837D72"/>
    <w:rsid w:val="00841C4C"/>
    <w:rsid w:val="00843FDC"/>
    <w:rsid w:val="0084402B"/>
    <w:rsid w:val="00844A15"/>
    <w:rsid w:val="00844EA8"/>
    <w:rsid w:val="0084566F"/>
    <w:rsid w:val="00846538"/>
    <w:rsid w:val="008465B3"/>
    <w:rsid w:val="00846A97"/>
    <w:rsid w:val="00847677"/>
    <w:rsid w:val="0085043C"/>
    <w:rsid w:val="008508A6"/>
    <w:rsid w:val="00851412"/>
    <w:rsid w:val="00853654"/>
    <w:rsid w:val="00854969"/>
    <w:rsid w:val="00854AE7"/>
    <w:rsid w:val="0085577F"/>
    <w:rsid w:val="0085614F"/>
    <w:rsid w:val="00856274"/>
    <w:rsid w:val="008565D3"/>
    <w:rsid w:val="00857103"/>
    <w:rsid w:val="008575F0"/>
    <w:rsid w:val="0086035A"/>
    <w:rsid w:val="00860AD6"/>
    <w:rsid w:val="00861333"/>
    <w:rsid w:val="008625EE"/>
    <w:rsid w:val="008629C4"/>
    <w:rsid w:val="00862A0E"/>
    <w:rsid w:val="0086367D"/>
    <w:rsid w:val="00863EB5"/>
    <w:rsid w:val="00864917"/>
    <w:rsid w:val="00864D68"/>
    <w:rsid w:val="008652B4"/>
    <w:rsid w:val="00865473"/>
    <w:rsid w:val="008654BB"/>
    <w:rsid w:val="00865F1A"/>
    <w:rsid w:val="008665BF"/>
    <w:rsid w:val="00866E5C"/>
    <w:rsid w:val="0087012B"/>
    <w:rsid w:val="008701AF"/>
    <w:rsid w:val="00870E48"/>
    <w:rsid w:val="00871F0D"/>
    <w:rsid w:val="00875078"/>
    <w:rsid w:val="00875844"/>
    <w:rsid w:val="00876B8A"/>
    <w:rsid w:val="00877288"/>
    <w:rsid w:val="008805D5"/>
    <w:rsid w:val="00881319"/>
    <w:rsid w:val="0088179F"/>
    <w:rsid w:val="00884786"/>
    <w:rsid w:val="008864C7"/>
    <w:rsid w:val="008879C2"/>
    <w:rsid w:val="00890A51"/>
    <w:rsid w:val="00890C9B"/>
    <w:rsid w:val="0089115D"/>
    <w:rsid w:val="00891946"/>
    <w:rsid w:val="00891B17"/>
    <w:rsid w:val="00892891"/>
    <w:rsid w:val="00893C49"/>
    <w:rsid w:val="00894E15"/>
    <w:rsid w:val="00896B02"/>
    <w:rsid w:val="00896C92"/>
    <w:rsid w:val="00896CDE"/>
    <w:rsid w:val="00896E89"/>
    <w:rsid w:val="00897728"/>
    <w:rsid w:val="00897AA3"/>
    <w:rsid w:val="008A072D"/>
    <w:rsid w:val="008A0C74"/>
    <w:rsid w:val="008A1014"/>
    <w:rsid w:val="008A14E9"/>
    <w:rsid w:val="008A35E4"/>
    <w:rsid w:val="008A37BB"/>
    <w:rsid w:val="008A3FF2"/>
    <w:rsid w:val="008A534C"/>
    <w:rsid w:val="008A5EDF"/>
    <w:rsid w:val="008B05DA"/>
    <w:rsid w:val="008B0838"/>
    <w:rsid w:val="008B1210"/>
    <w:rsid w:val="008B1E58"/>
    <w:rsid w:val="008B43B5"/>
    <w:rsid w:val="008B47D8"/>
    <w:rsid w:val="008B4B6E"/>
    <w:rsid w:val="008B560D"/>
    <w:rsid w:val="008B5C35"/>
    <w:rsid w:val="008B665C"/>
    <w:rsid w:val="008C00A1"/>
    <w:rsid w:val="008C0D05"/>
    <w:rsid w:val="008C1419"/>
    <w:rsid w:val="008C1850"/>
    <w:rsid w:val="008C1F99"/>
    <w:rsid w:val="008C21F5"/>
    <w:rsid w:val="008C24F0"/>
    <w:rsid w:val="008C2893"/>
    <w:rsid w:val="008C2BF8"/>
    <w:rsid w:val="008C2C02"/>
    <w:rsid w:val="008C3F65"/>
    <w:rsid w:val="008C4388"/>
    <w:rsid w:val="008C4D2E"/>
    <w:rsid w:val="008C4D2F"/>
    <w:rsid w:val="008C500D"/>
    <w:rsid w:val="008C6839"/>
    <w:rsid w:val="008C7080"/>
    <w:rsid w:val="008C7451"/>
    <w:rsid w:val="008D05CC"/>
    <w:rsid w:val="008D09CD"/>
    <w:rsid w:val="008D2867"/>
    <w:rsid w:val="008D2D93"/>
    <w:rsid w:val="008D4D21"/>
    <w:rsid w:val="008D4F05"/>
    <w:rsid w:val="008D5B34"/>
    <w:rsid w:val="008D696C"/>
    <w:rsid w:val="008D6B1F"/>
    <w:rsid w:val="008D6DD1"/>
    <w:rsid w:val="008D7763"/>
    <w:rsid w:val="008E01B2"/>
    <w:rsid w:val="008E0D92"/>
    <w:rsid w:val="008E2A23"/>
    <w:rsid w:val="008E2B02"/>
    <w:rsid w:val="008E4651"/>
    <w:rsid w:val="008E4C15"/>
    <w:rsid w:val="008E5035"/>
    <w:rsid w:val="008E59A9"/>
    <w:rsid w:val="008E6125"/>
    <w:rsid w:val="008E6A69"/>
    <w:rsid w:val="008F0FAB"/>
    <w:rsid w:val="008F1167"/>
    <w:rsid w:val="008F1C30"/>
    <w:rsid w:val="008F4BDF"/>
    <w:rsid w:val="008F51DE"/>
    <w:rsid w:val="008F51FA"/>
    <w:rsid w:val="008F5B99"/>
    <w:rsid w:val="008F5BCA"/>
    <w:rsid w:val="008F701A"/>
    <w:rsid w:val="008F7464"/>
    <w:rsid w:val="008F7D9C"/>
    <w:rsid w:val="009001F2"/>
    <w:rsid w:val="009024EE"/>
    <w:rsid w:val="00903F86"/>
    <w:rsid w:val="00903FEA"/>
    <w:rsid w:val="009041C7"/>
    <w:rsid w:val="009054EE"/>
    <w:rsid w:val="009061BD"/>
    <w:rsid w:val="00906E13"/>
    <w:rsid w:val="00906E73"/>
    <w:rsid w:val="00907AC6"/>
    <w:rsid w:val="009109C1"/>
    <w:rsid w:val="00910C18"/>
    <w:rsid w:val="00911254"/>
    <w:rsid w:val="009129B8"/>
    <w:rsid w:val="009130FC"/>
    <w:rsid w:val="0091373B"/>
    <w:rsid w:val="00914D5E"/>
    <w:rsid w:val="00915112"/>
    <w:rsid w:val="00915577"/>
    <w:rsid w:val="00916528"/>
    <w:rsid w:val="00917237"/>
    <w:rsid w:val="0091739B"/>
    <w:rsid w:val="009177E3"/>
    <w:rsid w:val="0092023C"/>
    <w:rsid w:val="00920557"/>
    <w:rsid w:val="009214AA"/>
    <w:rsid w:val="009214CF"/>
    <w:rsid w:val="00921B0F"/>
    <w:rsid w:val="00922AAA"/>
    <w:rsid w:val="0092331B"/>
    <w:rsid w:val="009236C4"/>
    <w:rsid w:val="00923B18"/>
    <w:rsid w:val="00923B98"/>
    <w:rsid w:val="00924484"/>
    <w:rsid w:val="00924797"/>
    <w:rsid w:val="00924F8A"/>
    <w:rsid w:val="00925C5A"/>
    <w:rsid w:val="009309D7"/>
    <w:rsid w:val="00931053"/>
    <w:rsid w:val="009312E3"/>
    <w:rsid w:val="009312E7"/>
    <w:rsid w:val="00931D19"/>
    <w:rsid w:val="00932032"/>
    <w:rsid w:val="0093334C"/>
    <w:rsid w:val="009346A8"/>
    <w:rsid w:val="00934945"/>
    <w:rsid w:val="00936090"/>
    <w:rsid w:val="00936445"/>
    <w:rsid w:val="009377B7"/>
    <w:rsid w:val="009405D0"/>
    <w:rsid w:val="00941479"/>
    <w:rsid w:val="009428F0"/>
    <w:rsid w:val="00942CA2"/>
    <w:rsid w:val="00942F2B"/>
    <w:rsid w:val="00943120"/>
    <w:rsid w:val="0094346B"/>
    <w:rsid w:val="00943A7B"/>
    <w:rsid w:val="00944A58"/>
    <w:rsid w:val="00944E72"/>
    <w:rsid w:val="009451CF"/>
    <w:rsid w:val="00945276"/>
    <w:rsid w:val="00945A1E"/>
    <w:rsid w:val="00945BBB"/>
    <w:rsid w:val="009475E7"/>
    <w:rsid w:val="00947753"/>
    <w:rsid w:val="00947AA0"/>
    <w:rsid w:val="009509A8"/>
    <w:rsid w:val="00950DA5"/>
    <w:rsid w:val="00951062"/>
    <w:rsid w:val="009514DF"/>
    <w:rsid w:val="0095168C"/>
    <w:rsid w:val="009531A8"/>
    <w:rsid w:val="00953902"/>
    <w:rsid w:val="00953AB5"/>
    <w:rsid w:val="00953DB5"/>
    <w:rsid w:val="00954078"/>
    <w:rsid w:val="00956224"/>
    <w:rsid w:val="00956633"/>
    <w:rsid w:val="00957CAA"/>
    <w:rsid w:val="00957E5F"/>
    <w:rsid w:val="0096023D"/>
    <w:rsid w:val="00960A57"/>
    <w:rsid w:val="009613A3"/>
    <w:rsid w:val="00961A15"/>
    <w:rsid w:val="00962211"/>
    <w:rsid w:val="00963038"/>
    <w:rsid w:val="00963E45"/>
    <w:rsid w:val="0096412B"/>
    <w:rsid w:val="00965298"/>
    <w:rsid w:val="009654CD"/>
    <w:rsid w:val="009662E2"/>
    <w:rsid w:val="009670DB"/>
    <w:rsid w:val="0096717C"/>
    <w:rsid w:val="009676F0"/>
    <w:rsid w:val="00967A19"/>
    <w:rsid w:val="00967A81"/>
    <w:rsid w:val="0097130C"/>
    <w:rsid w:val="00972411"/>
    <w:rsid w:val="009724E6"/>
    <w:rsid w:val="009725D0"/>
    <w:rsid w:val="009736A9"/>
    <w:rsid w:val="00973A1C"/>
    <w:rsid w:val="009749F7"/>
    <w:rsid w:val="0097569E"/>
    <w:rsid w:val="00976423"/>
    <w:rsid w:val="0097648C"/>
    <w:rsid w:val="00976A45"/>
    <w:rsid w:val="00976FD5"/>
    <w:rsid w:val="0097746E"/>
    <w:rsid w:val="0098081F"/>
    <w:rsid w:val="00983BE8"/>
    <w:rsid w:val="009849A4"/>
    <w:rsid w:val="0098614F"/>
    <w:rsid w:val="00986E9F"/>
    <w:rsid w:val="009875DF"/>
    <w:rsid w:val="00987612"/>
    <w:rsid w:val="00991026"/>
    <w:rsid w:val="00991054"/>
    <w:rsid w:val="00991D37"/>
    <w:rsid w:val="00992189"/>
    <w:rsid w:val="00992433"/>
    <w:rsid w:val="00993217"/>
    <w:rsid w:val="00993434"/>
    <w:rsid w:val="009934B2"/>
    <w:rsid w:val="009942E7"/>
    <w:rsid w:val="00994959"/>
    <w:rsid w:val="00994E3F"/>
    <w:rsid w:val="009969F0"/>
    <w:rsid w:val="009A067E"/>
    <w:rsid w:val="009A0E18"/>
    <w:rsid w:val="009A1185"/>
    <w:rsid w:val="009A11EF"/>
    <w:rsid w:val="009A12E5"/>
    <w:rsid w:val="009A1471"/>
    <w:rsid w:val="009A17F9"/>
    <w:rsid w:val="009A1BB2"/>
    <w:rsid w:val="009A24BA"/>
    <w:rsid w:val="009A270D"/>
    <w:rsid w:val="009A508B"/>
    <w:rsid w:val="009A543A"/>
    <w:rsid w:val="009A5AE9"/>
    <w:rsid w:val="009A6507"/>
    <w:rsid w:val="009A6E47"/>
    <w:rsid w:val="009A718D"/>
    <w:rsid w:val="009A7586"/>
    <w:rsid w:val="009A7D93"/>
    <w:rsid w:val="009B025B"/>
    <w:rsid w:val="009B1082"/>
    <w:rsid w:val="009B1108"/>
    <w:rsid w:val="009B1644"/>
    <w:rsid w:val="009B199B"/>
    <w:rsid w:val="009B1DAF"/>
    <w:rsid w:val="009B20C6"/>
    <w:rsid w:val="009B2AAC"/>
    <w:rsid w:val="009B3A59"/>
    <w:rsid w:val="009B3C80"/>
    <w:rsid w:val="009B4223"/>
    <w:rsid w:val="009B4EA3"/>
    <w:rsid w:val="009B68C0"/>
    <w:rsid w:val="009C0D17"/>
    <w:rsid w:val="009C1C0D"/>
    <w:rsid w:val="009C2303"/>
    <w:rsid w:val="009C24B8"/>
    <w:rsid w:val="009C2D13"/>
    <w:rsid w:val="009C3B4C"/>
    <w:rsid w:val="009C3E03"/>
    <w:rsid w:val="009C43AC"/>
    <w:rsid w:val="009C44AA"/>
    <w:rsid w:val="009C4940"/>
    <w:rsid w:val="009C4B1C"/>
    <w:rsid w:val="009C583A"/>
    <w:rsid w:val="009C5ADB"/>
    <w:rsid w:val="009C711D"/>
    <w:rsid w:val="009C78F8"/>
    <w:rsid w:val="009D0C2F"/>
    <w:rsid w:val="009D1476"/>
    <w:rsid w:val="009D2B12"/>
    <w:rsid w:val="009D3486"/>
    <w:rsid w:val="009D3555"/>
    <w:rsid w:val="009D474A"/>
    <w:rsid w:val="009D4E18"/>
    <w:rsid w:val="009D64FF"/>
    <w:rsid w:val="009E0F86"/>
    <w:rsid w:val="009E2F5F"/>
    <w:rsid w:val="009E36E2"/>
    <w:rsid w:val="009E57EC"/>
    <w:rsid w:val="009E59E1"/>
    <w:rsid w:val="009E61F6"/>
    <w:rsid w:val="009E68CE"/>
    <w:rsid w:val="009E7E93"/>
    <w:rsid w:val="009F08F9"/>
    <w:rsid w:val="009F0CBA"/>
    <w:rsid w:val="009F11C4"/>
    <w:rsid w:val="009F2BB1"/>
    <w:rsid w:val="009F31F2"/>
    <w:rsid w:val="009F3259"/>
    <w:rsid w:val="009F4538"/>
    <w:rsid w:val="009F45FD"/>
    <w:rsid w:val="009F5B09"/>
    <w:rsid w:val="009F646B"/>
    <w:rsid w:val="00A003ED"/>
    <w:rsid w:val="00A011BF"/>
    <w:rsid w:val="00A013FB"/>
    <w:rsid w:val="00A01451"/>
    <w:rsid w:val="00A01A60"/>
    <w:rsid w:val="00A01ABD"/>
    <w:rsid w:val="00A02D8E"/>
    <w:rsid w:val="00A03299"/>
    <w:rsid w:val="00A03AC9"/>
    <w:rsid w:val="00A0424C"/>
    <w:rsid w:val="00A04981"/>
    <w:rsid w:val="00A05CDF"/>
    <w:rsid w:val="00A06BE9"/>
    <w:rsid w:val="00A06D59"/>
    <w:rsid w:val="00A07432"/>
    <w:rsid w:val="00A07467"/>
    <w:rsid w:val="00A07727"/>
    <w:rsid w:val="00A07E36"/>
    <w:rsid w:val="00A1025A"/>
    <w:rsid w:val="00A11CCF"/>
    <w:rsid w:val="00A123BD"/>
    <w:rsid w:val="00A12D3A"/>
    <w:rsid w:val="00A12E5A"/>
    <w:rsid w:val="00A138F6"/>
    <w:rsid w:val="00A14BD9"/>
    <w:rsid w:val="00A1535C"/>
    <w:rsid w:val="00A15AFF"/>
    <w:rsid w:val="00A16F90"/>
    <w:rsid w:val="00A17450"/>
    <w:rsid w:val="00A17FE6"/>
    <w:rsid w:val="00A20118"/>
    <w:rsid w:val="00A20BA5"/>
    <w:rsid w:val="00A21263"/>
    <w:rsid w:val="00A21588"/>
    <w:rsid w:val="00A220DF"/>
    <w:rsid w:val="00A2231A"/>
    <w:rsid w:val="00A22617"/>
    <w:rsid w:val="00A23958"/>
    <w:rsid w:val="00A243FF"/>
    <w:rsid w:val="00A24F8C"/>
    <w:rsid w:val="00A24FD3"/>
    <w:rsid w:val="00A25029"/>
    <w:rsid w:val="00A26A6E"/>
    <w:rsid w:val="00A27319"/>
    <w:rsid w:val="00A2736D"/>
    <w:rsid w:val="00A30E17"/>
    <w:rsid w:val="00A3172B"/>
    <w:rsid w:val="00A32B97"/>
    <w:rsid w:val="00A32D64"/>
    <w:rsid w:val="00A331F9"/>
    <w:rsid w:val="00A365EF"/>
    <w:rsid w:val="00A37704"/>
    <w:rsid w:val="00A406B2"/>
    <w:rsid w:val="00A40A59"/>
    <w:rsid w:val="00A40B34"/>
    <w:rsid w:val="00A4185D"/>
    <w:rsid w:val="00A4193F"/>
    <w:rsid w:val="00A41B28"/>
    <w:rsid w:val="00A41BF8"/>
    <w:rsid w:val="00A42CDB"/>
    <w:rsid w:val="00A42EE3"/>
    <w:rsid w:val="00A4329E"/>
    <w:rsid w:val="00A4332A"/>
    <w:rsid w:val="00A4365E"/>
    <w:rsid w:val="00A44E9C"/>
    <w:rsid w:val="00A44EE0"/>
    <w:rsid w:val="00A461A1"/>
    <w:rsid w:val="00A46734"/>
    <w:rsid w:val="00A47E85"/>
    <w:rsid w:val="00A5117A"/>
    <w:rsid w:val="00A5156F"/>
    <w:rsid w:val="00A52525"/>
    <w:rsid w:val="00A5271B"/>
    <w:rsid w:val="00A52ACB"/>
    <w:rsid w:val="00A54B96"/>
    <w:rsid w:val="00A55520"/>
    <w:rsid w:val="00A55B55"/>
    <w:rsid w:val="00A56098"/>
    <w:rsid w:val="00A56E52"/>
    <w:rsid w:val="00A56F01"/>
    <w:rsid w:val="00A56F8C"/>
    <w:rsid w:val="00A60901"/>
    <w:rsid w:val="00A60D09"/>
    <w:rsid w:val="00A60F83"/>
    <w:rsid w:val="00A61473"/>
    <w:rsid w:val="00A616B3"/>
    <w:rsid w:val="00A61E51"/>
    <w:rsid w:val="00A6233D"/>
    <w:rsid w:val="00A63119"/>
    <w:rsid w:val="00A637C6"/>
    <w:rsid w:val="00A63C60"/>
    <w:rsid w:val="00A6667F"/>
    <w:rsid w:val="00A673C5"/>
    <w:rsid w:val="00A67E54"/>
    <w:rsid w:val="00A7005D"/>
    <w:rsid w:val="00A706D8"/>
    <w:rsid w:val="00A707D2"/>
    <w:rsid w:val="00A70D4A"/>
    <w:rsid w:val="00A70E1B"/>
    <w:rsid w:val="00A710B6"/>
    <w:rsid w:val="00A714A2"/>
    <w:rsid w:val="00A71523"/>
    <w:rsid w:val="00A71E34"/>
    <w:rsid w:val="00A739D0"/>
    <w:rsid w:val="00A7477C"/>
    <w:rsid w:val="00A7554D"/>
    <w:rsid w:val="00A7576A"/>
    <w:rsid w:val="00A75E86"/>
    <w:rsid w:val="00A76032"/>
    <w:rsid w:val="00A776E6"/>
    <w:rsid w:val="00A77A8B"/>
    <w:rsid w:val="00A80009"/>
    <w:rsid w:val="00A8023E"/>
    <w:rsid w:val="00A809B4"/>
    <w:rsid w:val="00A810E4"/>
    <w:rsid w:val="00A8299B"/>
    <w:rsid w:val="00A83B56"/>
    <w:rsid w:val="00A84C50"/>
    <w:rsid w:val="00A853C4"/>
    <w:rsid w:val="00A8563A"/>
    <w:rsid w:val="00A857D1"/>
    <w:rsid w:val="00A859C2"/>
    <w:rsid w:val="00A864EA"/>
    <w:rsid w:val="00A86B8F"/>
    <w:rsid w:val="00A86EC5"/>
    <w:rsid w:val="00A87C84"/>
    <w:rsid w:val="00A91397"/>
    <w:rsid w:val="00A91E24"/>
    <w:rsid w:val="00A924E7"/>
    <w:rsid w:val="00A92615"/>
    <w:rsid w:val="00A92E5D"/>
    <w:rsid w:val="00A93100"/>
    <w:rsid w:val="00A936D2"/>
    <w:rsid w:val="00A939A9"/>
    <w:rsid w:val="00A93F6A"/>
    <w:rsid w:val="00A940ED"/>
    <w:rsid w:val="00A941A6"/>
    <w:rsid w:val="00A9490D"/>
    <w:rsid w:val="00A94B21"/>
    <w:rsid w:val="00A9540F"/>
    <w:rsid w:val="00A968EA"/>
    <w:rsid w:val="00A9715E"/>
    <w:rsid w:val="00AA0029"/>
    <w:rsid w:val="00AA01F0"/>
    <w:rsid w:val="00AA031B"/>
    <w:rsid w:val="00AA0B66"/>
    <w:rsid w:val="00AA130C"/>
    <w:rsid w:val="00AA1582"/>
    <w:rsid w:val="00AA19BD"/>
    <w:rsid w:val="00AA1EA6"/>
    <w:rsid w:val="00AA336F"/>
    <w:rsid w:val="00AA3815"/>
    <w:rsid w:val="00AA6DC6"/>
    <w:rsid w:val="00AA723F"/>
    <w:rsid w:val="00AA7FCF"/>
    <w:rsid w:val="00AB0CFD"/>
    <w:rsid w:val="00AB0DAE"/>
    <w:rsid w:val="00AB1B1F"/>
    <w:rsid w:val="00AB338C"/>
    <w:rsid w:val="00AB36A2"/>
    <w:rsid w:val="00AB55A8"/>
    <w:rsid w:val="00AB584F"/>
    <w:rsid w:val="00AB63B6"/>
    <w:rsid w:val="00AB68A8"/>
    <w:rsid w:val="00AB7249"/>
    <w:rsid w:val="00AB75C8"/>
    <w:rsid w:val="00AB7928"/>
    <w:rsid w:val="00AB7AE8"/>
    <w:rsid w:val="00AC0879"/>
    <w:rsid w:val="00AC0F11"/>
    <w:rsid w:val="00AC0FA1"/>
    <w:rsid w:val="00AC1B52"/>
    <w:rsid w:val="00AC1EC7"/>
    <w:rsid w:val="00AC20EF"/>
    <w:rsid w:val="00AC23D6"/>
    <w:rsid w:val="00AC3E34"/>
    <w:rsid w:val="00AC5DDD"/>
    <w:rsid w:val="00AC61E6"/>
    <w:rsid w:val="00AC66B1"/>
    <w:rsid w:val="00AC7388"/>
    <w:rsid w:val="00AD0C46"/>
    <w:rsid w:val="00AD139B"/>
    <w:rsid w:val="00AD3BF0"/>
    <w:rsid w:val="00AD3E79"/>
    <w:rsid w:val="00AD41B0"/>
    <w:rsid w:val="00AD54F4"/>
    <w:rsid w:val="00AD5DDA"/>
    <w:rsid w:val="00AD677C"/>
    <w:rsid w:val="00AE03EA"/>
    <w:rsid w:val="00AE1EB4"/>
    <w:rsid w:val="00AE2EB8"/>
    <w:rsid w:val="00AE3346"/>
    <w:rsid w:val="00AE383F"/>
    <w:rsid w:val="00AE45BB"/>
    <w:rsid w:val="00AE4B71"/>
    <w:rsid w:val="00AE4D3C"/>
    <w:rsid w:val="00AE4F13"/>
    <w:rsid w:val="00AE4FB6"/>
    <w:rsid w:val="00AE719D"/>
    <w:rsid w:val="00AE74D5"/>
    <w:rsid w:val="00AE750C"/>
    <w:rsid w:val="00AF01A4"/>
    <w:rsid w:val="00AF0210"/>
    <w:rsid w:val="00AF0B68"/>
    <w:rsid w:val="00AF28DA"/>
    <w:rsid w:val="00AF33C1"/>
    <w:rsid w:val="00AF3E9B"/>
    <w:rsid w:val="00AF40F7"/>
    <w:rsid w:val="00AF42A3"/>
    <w:rsid w:val="00AF4F5D"/>
    <w:rsid w:val="00AF68D9"/>
    <w:rsid w:val="00AF6B72"/>
    <w:rsid w:val="00AF6FA5"/>
    <w:rsid w:val="00B00417"/>
    <w:rsid w:val="00B0159F"/>
    <w:rsid w:val="00B02743"/>
    <w:rsid w:val="00B0436A"/>
    <w:rsid w:val="00B05237"/>
    <w:rsid w:val="00B07819"/>
    <w:rsid w:val="00B07B03"/>
    <w:rsid w:val="00B07BD1"/>
    <w:rsid w:val="00B10503"/>
    <w:rsid w:val="00B10888"/>
    <w:rsid w:val="00B11761"/>
    <w:rsid w:val="00B11E14"/>
    <w:rsid w:val="00B1240A"/>
    <w:rsid w:val="00B128A8"/>
    <w:rsid w:val="00B129AE"/>
    <w:rsid w:val="00B12CD4"/>
    <w:rsid w:val="00B12F3F"/>
    <w:rsid w:val="00B13CCA"/>
    <w:rsid w:val="00B14A34"/>
    <w:rsid w:val="00B14D5C"/>
    <w:rsid w:val="00B15AF7"/>
    <w:rsid w:val="00B16B93"/>
    <w:rsid w:val="00B171FA"/>
    <w:rsid w:val="00B206A6"/>
    <w:rsid w:val="00B20FE6"/>
    <w:rsid w:val="00B21169"/>
    <w:rsid w:val="00B211A5"/>
    <w:rsid w:val="00B21307"/>
    <w:rsid w:val="00B21601"/>
    <w:rsid w:val="00B22410"/>
    <w:rsid w:val="00B2260A"/>
    <w:rsid w:val="00B22A7A"/>
    <w:rsid w:val="00B23822"/>
    <w:rsid w:val="00B24569"/>
    <w:rsid w:val="00B2577E"/>
    <w:rsid w:val="00B25990"/>
    <w:rsid w:val="00B2705C"/>
    <w:rsid w:val="00B27EC4"/>
    <w:rsid w:val="00B27FB4"/>
    <w:rsid w:val="00B30425"/>
    <w:rsid w:val="00B305EA"/>
    <w:rsid w:val="00B3171B"/>
    <w:rsid w:val="00B32A8D"/>
    <w:rsid w:val="00B32AEA"/>
    <w:rsid w:val="00B32D33"/>
    <w:rsid w:val="00B32E91"/>
    <w:rsid w:val="00B339BD"/>
    <w:rsid w:val="00B33EAB"/>
    <w:rsid w:val="00B34DE1"/>
    <w:rsid w:val="00B351F3"/>
    <w:rsid w:val="00B35BE1"/>
    <w:rsid w:val="00B3623A"/>
    <w:rsid w:val="00B364A8"/>
    <w:rsid w:val="00B36AA6"/>
    <w:rsid w:val="00B36E3F"/>
    <w:rsid w:val="00B3710A"/>
    <w:rsid w:val="00B40F79"/>
    <w:rsid w:val="00B4168D"/>
    <w:rsid w:val="00B41856"/>
    <w:rsid w:val="00B41BCA"/>
    <w:rsid w:val="00B4209B"/>
    <w:rsid w:val="00B4255C"/>
    <w:rsid w:val="00B42808"/>
    <w:rsid w:val="00B42B0C"/>
    <w:rsid w:val="00B4331C"/>
    <w:rsid w:val="00B43FB5"/>
    <w:rsid w:val="00B44649"/>
    <w:rsid w:val="00B448E7"/>
    <w:rsid w:val="00B45A6E"/>
    <w:rsid w:val="00B45AC2"/>
    <w:rsid w:val="00B45EE1"/>
    <w:rsid w:val="00B4652C"/>
    <w:rsid w:val="00B465DA"/>
    <w:rsid w:val="00B47081"/>
    <w:rsid w:val="00B47396"/>
    <w:rsid w:val="00B505CB"/>
    <w:rsid w:val="00B50CE6"/>
    <w:rsid w:val="00B52F66"/>
    <w:rsid w:val="00B53058"/>
    <w:rsid w:val="00B549B6"/>
    <w:rsid w:val="00B559C2"/>
    <w:rsid w:val="00B55C12"/>
    <w:rsid w:val="00B572B4"/>
    <w:rsid w:val="00B572D8"/>
    <w:rsid w:val="00B57A6A"/>
    <w:rsid w:val="00B60378"/>
    <w:rsid w:val="00B60EC4"/>
    <w:rsid w:val="00B60F9F"/>
    <w:rsid w:val="00B61B9F"/>
    <w:rsid w:val="00B6210C"/>
    <w:rsid w:val="00B62213"/>
    <w:rsid w:val="00B6273A"/>
    <w:rsid w:val="00B630CA"/>
    <w:rsid w:val="00B63985"/>
    <w:rsid w:val="00B63E1A"/>
    <w:rsid w:val="00B63EC6"/>
    <w:rsid w:val="00B64820"/>
    <w:rsid w:val="00B650D0"/>
    <w:rsid w:val="00B65135"/>
    <w:rsid w:val="00B664A8"/>
    <w:rsid w:val="00B66A2C"/>
    <w:rsid w:val="00B66F3A"/>
    <w:rsid w:val="00B67003"/>
    <w:rsid w:val="00B71B9A"/>
    <w:rsid w:val="00B71CD9"/>
    <w:rsid w:val="00B72A8C"/>
    <w:rsid w:val="00B7322E"/>
    <w:rsid w:val="00B73DE0"/>
    <w:rsid w:val="00B769BD"/>
    <w:rsid w:val="00B77000"/>
    <w:rsid w:val="00B77255"/>
    <w:rsid w:val="00B800F5"/>
    <w:rsid w:val="00B80495"/>
    <w:rsid w:val="00B808C9"/>
    <w:rsid w:val="00B8109E"/>
    <w:rsid w:val="00B81C62"/>
    <w:rsid w:val="00B827F5"/>
    <w:rsid w:val="00B82BA2"/>
    <w:rsid w:val="00B837BD"/>
    <w:rsid w:val="00B8436C"/>
    <w:rsid w:val="00B84DC8"/>
    <w:rsid w:val="00B865B4"/>
    <w:rsid w:val="00B86874"/>
    <w:rsid w:val="00B8713C"/>
    <w:rsid w:val="00B87949"/>
    <w:rsid w:val="00B879F5"/>
    <w:rsid w:val="00B87F1E"/>
    <w:rsid w:val="00B90BEB"/>
    <w:rsid w:val="00B9101D"/>
    <w:rsid w:val="00B91747"/>
    <w:rsid w:val="00B91759"/>
    <w:rsid w:val="00B93467"/>
    <w:rsid w:val="00B93520"/>
    <w:rsid w:val="00B93C73"/>
    <w:rsid w:val="00B95821"/>
    <w:rsid w:val="00B95C94"/>
    <w:rsid w:val="00B97494"/>
    <w:rsid w:val="00B9754F"/>
    <w:rsid w:val="00B97FD3"/>
    <w:rsid w:val="00BA045C"/>
    <w:rsid w:val="00BA0B75"/>
    <w:rsid w:val="00BA0ECE"/>
    <w:rsid w:val="00BA0F85"/>
    <w:rsid w:val="00BA1712"/>
    <w:rsid w:val="00BA1BFE"/>
    <w:rsid w:val="00BA2A5A"/>
    <w:rsid w:val="00BA2FE3"/>
    <w:rsid w:val="00BA35A5"/>
    <w:rsid w:val="00BA4A3E"/>
    <w:rsid w:val="00BA52D0"/>
    <w:rsid w:val="00BA5378"/>
    <w:rsid w:val="00BA53CF"/>
    <w:rsid w:val="00BA6381"/>
    <w:rsid w:val="00BA7E56"/>
    <w:rsid w:val="00BB017D"/>
    <w:rsid w:val="00BB07F5"/>
    <w:rsid w:val="00BB0A5F"/>
    <w:rsid w:val="00BB1386"/>
    <w:rsid w:val="00BB1802"/>
    <w:rsid w:val="00BB2D75"/>
    <w:rsid w:val="00BB2DA1"/>
    <w:rsid w:val="00BB5BD6"/>
    <w:rsid w:val="00BB67D3"/>
    <w:rsid w:val="00BB7268"/>
    <w:rsid w:val="00BC1839"/>
    <w:rsid w:val="00BC1DE9"/>
    <w:rsid w:val="00BC1E32"/>
    <w:rsid w:val="00BC25FD"/>
    <w:rsid w:val="00BC2889"/>
    <w:rsid w:val="00BC28B9"/>
    <w:rsid w:val="00BC29C3"/>
    <w:rsid w:val="00BC2FA2"/>
    <w:rsid w:val="00BC348A"/>
    <w:rsid w:val="00BC4216"/>
    <w:rsid w:val="00BC4928"/>
    <w:rsid w:val="00BC52D5"/>
    <w:rsid w:val="00BC6353"/>
    <w:rsid w:val="00BC6771"/>
    <w:rsid w:val="00BC6FAB"/>
    <w:rsid w:val="00BD0368"/>
    <w:rsid w:val="00BD0F09"/>
    <w:rsid w:val="00BD0F8F"/>
    <w:rsid w:val="00BD1368"/>
    <w:rsid w:val="00BD1FFA"/>
    <w:rsid w:val="00BD33A3"/>
    <w:rsid w:val="00BD3519"/>
    <w:rsid w:val="00BD564D"/>
    <w:rsid w:val="00BD5BDB"/>
    <w:rsid w:val="00BD678B"/>
    <w:rsid w:val="00BD6D19"/>
    <w:rsid w:val="00BD6EAF"/>
    <w:rsid w:val="00BE03A8"/>
    <w:rsid w:val="00BE0643"/>
    <w:rsid w:val="00BE12BA"/>
    <w:rsid w:val="00BE1953"/>
    <w:rsid w:val="00BE26C2"/>
    <w:rsid w:val="00BE2AC9"/>
    <w:rsid w:val="00BE2E1A"/>
    <w:rsid w:val="00BE3263"/>
    <w:rsid w:val="00BE40FE"/>
    <w:rsid w:val="00BE5982"/>
    <w:rsid w:val="00BE6305"/>
    <w:rsid w:val="00BE6386"/>
    <w:rsid w:val="00BE6B0D"/>
    <w:rsid w:val="00BE6D9B"/>
    <w:rsid w:val="00BE7E39"/>
    <w:rsid w:val="00BF0E5D"/>
    <w:rsid w:val="00BF12BA"/>
    <w:rsid w:val="00BF1509"/>
    <w:rsid w:val="00BF3339"/>
    <w:rsid w:val="00BF41F9"/>
    <w:rsid w:val="00BF4DFF"/>
    <w:rsid w:val="00BF4EAB"/>
    <w:rsid w:val="00BF549E"/>
    <w:rsid w:val="00BF55FD"/>
    <w:rsid w:val="00BF5784"/>
    <w:rsid w:val="00BF5F04"/>
    <w:rsid w:val="00BF60D3"/>
    <w:rsid w:val="00BF6AD1"/>
    <w:rsid w:val="00BF6B03"/>
    <w:rsid w:val="00BF792E"/>
    <w:rsid w:val="00BF7F17"/>
    <w:rsid w:val="00C00B7B"/>
    <w:rsid w:val="00C019EC"/>
    <w:rsid w:val="00C01A4A"/>
    <w:rsid w:val="00C01C50"/>
    <w:rsid w:val="00C03067"/>
    <w:rsid w:val="00C03361"/>
    <w:rsid w:val="00C03462"/>
    <w:rsid w:val="00C03DE8"/>
    <w:rsid w:val="00C0420F"/>
    <w:rsid w:val="00C0426C"/>
    <w:rsid w:val="00C04D5D"/>
    <w:rsid w:val="00C0539F"/>
    <w:rsid w:val="00C057EF"/>
    <w:rsid w:val="00C06F17"/>
    <w:rsid w:val="00C07222"/>
    <w:rsid w:val="00C07EBC"/>
    <w:rsid w:val="00C101EA"/>
    <w:rsid w:val="00C10876"/>
    <w:rsid w:val="00C10D0D"/>
    <w:rsid w:val="00C1162F"/>
    <w:rsid w:val="00C120E3"/>
    <w:rsid w:val="00C12113"/>
    <w:rsid w:val="00C12121"/>
    <w:rsid w:val="00C122D2"/>
    <w:rsid w:val="00C12A17"/>
    <w:rsid w:val="00C141BB"/>
    <w:rsid w:val="00C1420C"/>
    <w:rsid w:val="00C14211"/>
    <w:rsid w:val="00C14340"/>
    <w:rsid w:val="00C14382"/>
    <w:rsid w:val="00C144B7"/>
    <w:rsid w:val="00C15B0B"/>
    <w:rsid w:val="00C15BB5"/>
    <w:rsid w:val="00C15F1B"/>
    <w:rsid w:val="00C170F7"/>
    <w:rsid w:val="00C17322"/>
    <w:rsid w:val="00C17D94"/>
    <w:rsid w:val="00C200FD"/>
    <w:rsid w:val="00C20CE3"/>
    <w:rsid w:val="00C20EAB"/>
    <w:rsid w:val="00C210A4"/>
    <w:rsid w:val="00C2113B"/>
    <w:rsid w:val="00C21762"/>
    <w:rsid w:val="00C21FF5"/>
    <w:rsid w:val="00C22840"/>
    <w:rsid w:val="00C22AB1"/>
    <w:rsid w:val="00C22E92"/>
    <w:rsid w:val="00C22EAF"/>
    <w:rsid w:val="00C22EE6"/>
    <w:rsid w:val="00C2442E"/>
    <w:rsid w:val="00C244D5"/>
    <w:rsid w:val="00C2524E"/>
    <w:rsid w:val="00C261E0"/>
    <w:rsid w:val="00C264B8"/>
    <w:rsid w:val="00C2685F"/>
    <w:rsid w:val="00C26D20"/>
    <w:rsid w:val="00C270EF"/>
    <w:rsid w:val="00C27D24"/>
    <w:rsid w:val="00C30B79"/>
    <w:rsid w:val="00C3322D"/>
    <w:rsid w:val="00C34879"/>
    <w:rsid w:val="00C34D1A"/>
    <w:rsid w:val="00C34F88"/>
    <w:rsid w:val="00C35984"/>
    <w:rsid w:val="00C3610E"/>
    <w:rsid w:val="00C36C05"/>
    <w:rsid w:val="00C377D6"/>
    <w:rsid w:val="00C37A1F"/>
    <w:rsid w:val="00C40245"/>
    <w:rsid w:val="00C4178F"/>
    <w:rsid w:val="00C430DA"/>
    <w:rsid w:val="00C4329C"/>
    <w:rsid w:val="00C4477F"/>
    <w:rsid w:val="00C457F6"/>
    <w:rsid w:val="00C46438"/>
    <w:rsid w:val="00C46452"/>
    <w:rsid w:val="00C46A43"/>
    <w:rsid w:val="00C46C99"/>
    <w:rsid w:val="00C47447"/>
    <w:rsid w:val="00C47656"/>
    <w:rsid w:val="00C503C4"/>
    <w:rsid w:val="00C50536"/>
    <w:rsid w:val="00C51E31"/>
    <w:rsid w:val="00C526FE"/>
    <w:rsid w:val="00C53552"/>
    <w:rsid w:val="00C54457"/>
    <w:rsid w:val="00C54F55"/>
    <w:rsid w:val="00C5604F"/>
    <w:rsid w:val="00C563DA"/>
    <w:rsid w:val="00C56904"/>
    <w:rsid w:val="00C572EB"/>
    <w:rsid w:val="00C57474"/>
    <w:rsid w:val="00C57E00"/>
    <w:rsid w:val="00C60A55"/>
    <w:rsid w:val="00C60C53"/>
    <w:rsid w:val="00C60E9D"/>
    <w:rsid w:val="00C6119C"/>
    <w:rsid w:val="00C61C09"/>
    <w:rsid w:val="00C61D9A"/>
    <w:rsid w:val="00C61DC3"/>
    <w:rsid w:val="00C63C38"/>
    <w:rsid w:val="00C66009"/>
    <w:rsid w:val="00C700B9"/>
    <w:rsid w:val="00C70654"/>
    <w:rsid w:val="00C71538"/>
    <w:rsid w:val="00C723C0"/>
    <w:rsid w:val="00C723F6"/>
    <w:rsid w:val="00C72CDE"/>
    <w:rsid w:val="00C72DA9"/>
    <w:rsid w:val="00C740BA"/>
    <w:rsid w:val="00C743BA"/>
    <w:rsid w:val="00C75308"/>
    <w:rsid w:val="00C761AF"/>
    <w:rsid w:val="00C76951"/>
    <w:rsid w:val="00C770DE"/>
    <w:rsid w:val="00C7722C"/>
    <w:rsid w:val="00C77471"/>
    <w:rsid w:val="00C7747D"/>
    <w:rsid w:val="00C778F1"/>
    <w:rsid w:val="00C80565"/>
    <w:rsid w:val="00C819FE"/>
    <w:rsid w:val="00C82806"/>
    <w:rsid w:val="00C828F1"/>
    <w:rsid w:val="00C82A3D"/>
    <w:rsid w:val="00C8331F"/>
    <w:rsid w:val="00C84E0B"/>
    <w:rsid w:val="00C86321"/>
    <w:rsid w:val="00C86E7A"/>
    <w:rsid w:val="00C90E74"/>
    <w:rsid w:val="00C90F97"/>
    <w:rsid w:val="00C9194D"/>
    <w:rsid w:val="00C91C83"/>
    <w:rsid w:val="00C91CD2"/>
    <w:rsid w:val="00C92833"/>
    <w:rsid w:val="00C93638"/>
    <w:rsid w:val="00C93992"/>
    <w:rsid w:val="00C939B1"/>
    <w:rsid w:val="00C93C3F"/>
    <w:rsid w:val="00C946EE"/>
    <w:rsid w:val="00C948E4"/>
    <w:rsid w:val="00C9519E"/>
    <w:rsid w:val="00C957E3"/>
    <w:rsid w:val="00C963B5"/>
    <w:rsid w:val="00C97066"/>
    <w:rsid w:val="00CA0785"/>
    <w:rsid w:val="00CA1026"/>
    <w:rsid w:val="00CA146E"/>
    <w:rsid w:val="00CA14A7"/>
    <w:rsid w:val="00CA1720"/>
    <w:rsid w:val="00CA37F5"/>
    <w:rsid w:val="00CA473D"/>
    <w:rsid w:val="00CA4EB0"/>
    <w:rsid w:val="00CA6814"/>
    <w:rsid w:val="00CA79B5"/>
    <w:rsid w:val="00CB0A79"/>
    <w:rsid w:val="00CB1CFA"/>
    <w:rsid w:val="00CB1EB0"/>
    <w:rsid w:val="00CB2DF1"/>
    <w:rsid w:val="00CB3252"/>
    <w:rsid w:val="00CB3462"/>
    <w:rsid w:val="00CB4CA6"/>
    <w:rsid w:val="00CB57AF"/>
    <w:rsid w:val="00CB5E8E"/>
    <w:rsid w:val="00CB6265"/>
    <w:rsid w:val="00CB704A"/>
    <w:rsid w:val="00CB7133"/>
    <w:rsid w:val="00CB72A6"/>
    <w:rsid w:val="00CB763D"/>
    <w:rsid w:val="00CB7648"/>
    <w:rsid w:val="00CB78B4"/>
    <w:rsid w:val="00CC0FEA"/>
    <w:rsid w:val="00CC163D"/>
    <w:rsid w:val="00CC1B16"/>
    <w:rsid w:val="00CC1BAA"/>
    <w:rsid w:val="00CC22B4"/>
    <w:rsid w:val="00CC3C27"/>
    <w:rsid w:val="00CC3D0B"/>
    <w:rsid w:val="00CC4574"/>
    <w:rsid w:val="00CC498C"/>
    <w:rsid w:val="00CC5B19"/>
    <w:rsid w:val="00CC5D88"/>
    <w:rsid w:val="00CC5DDF"/>
    <w:rsid w:val="00CC607B"/>
    <w:rsid w:val="00CC721C"/>
    <w:rsid w:val="00CC72D9"/>
    <w:rsid w:val="00CC74C0"/>
    <w:rsid w:val="00CC7BB9"/>
    <w:rsid w:val="00CC7D42"/>
    <w:rsid w:val="00CC7FB7"/>
    <w:rsid w:val="00CD00DF"/>
    <w:rsid w:val="00CD348B"/>
    <w:rsid w:val="00CD393A"/>
    <w:rsid w:val="00CD47C4"/>
    <w:rsid w:val="00CD53A2"/>
    <w:rsid w:val="00CD55F3"/>
    <w:rsid w:val="00CD60AC"/>
    <w:rsid w:val="00CD726C"/>
    <w:rsid w:val="00CE0A4B"/>
    <w:rsid w:val="00CE128B"/>
    <w:rsid w:val="00CE17CF"/>
    <w:rsid w:val="00CE5131"/>
    <w:rsid w:val="00CE62ED"/>
    <w:rsid w:val="00CE66FB"/>
    <w:rsid w:val="00CE6834"/>
    <w:rsid w:val="00CE6866"/>
    <w:rsid w:val="00CE7862"/>
    <w:rsid w:val="00CF02CC"/>
    <w:rsid w:val="00CF191A"/>
    <w:rsid w:val="00CF1B0D"/>
    <w:rsid w:val="00CF2DC2"/>
    <w:rsid w:val="00CF425A"/>
    <w:rsid w:val="00CF6535"/>
    <w:rsid w:val="00CF6750"/>
    <w:rsid w:val="00CF7006"/>
    <w:rsid w:val="00CF74EC"/>
    <w:rsid w:val="00CF7ABC"/>
    <w:rsid w:val="00D00A7B"/>
    <w:rsid w:val="00D01212"/>
    <w:rsid w:val="00D017B9"/>
    <w:rsid w:val="00D0188D"/>
    <w:rsid w:val="00D043B0"/>
    <w:rsid w:val="00D05DFD"/>
    <w:rsid w:val="00D05FDE"/>
    <w:rsid w:val="00D07DA2"/>
    <w:rsid w:val="00D10D3F"/>
    <w:rsid w:val="00D129D1"/>
    <w:rsid w:val="00D137F8"/>
    <w:rsid w:val="00D13AAF"/>
    <w:rsid w:val="00D14577"/>
    <w:rsid w:val="00D1549B"/>
    <w:rsid w:val="00D15B11"/>
    <w:rsid w:val="00D165F0"/>
    <w:rsid w:val="00D20520"/>
    <w:rsid w:val="00D20831"/>
    <w:rsid w:val="00D20D48"/>
    <w:rsid w:val="00D22937"/>
    <w:rsid w:val="00D22E46"/>
    <w:rsid w:val="00D2372E"/>
    <w:rsid w:val="00D23B1F"/>
    <w:rsid w:val="00D24421"/>
    <w:rsid w:val="00D2539B"/>
    <w:rsid w:val="00D25666"/>
    <w:rsid w:val="00D25C3B"/>
    <w:rsid w:val="00D25EDA"/>
    <w:rsid w:val="00D269E4"/>
    <w:rsid w:val="00D26DAA"/>
    <w:rsid w:val="00D27AE9"/>
    <w:rsid w:val="00D27D59"/>
    <w:rsid w:val="00D30687"/>
    <w:rsid w:val="00D30B4A"/>
    <w:rsid w:val="00D32616"/>
    <w:rsid w:val="00D3347C"/>
    <w:rsid w:val="00D33DD8"/>
    <w:rsid w:val="00D34BE3"/>
    <w:rsid w:val="00D34E6C"/>
    <w:rsid w:val="00D35B4E"/>
    <w:rsid w:val="00D3611D"/>
    <w:rsid w:val="00D36E2F"/>
    <w:rsid w:val="00D370C8"/>
    <w:rsid w:val="00D41962"/>
    <w:rsid w:val="00D41D64"/>
    <w:rsid w:val="00D4254E"/>
    <w:rsid w:val="00D43580"/>
    <w:rsid w:val="00D43EE8"/>
    <w:rsid w:val="00D44F2D"/>
    <w:rsid w:val="00D45273"/>
    <w:rsid w:val="00D45B97"/>
    <w:rsid w:val="00D46227"/>
    <w:rsid w:val="00D4715F"/>
    <w:rsid w:val="00D471AF"/>
    <w:rsid w:val="00D47516"/>
    <w:rsid w:val="00D47534"/>
    <w:rsid w:val="00D47912"/>
    <w:rsid w:val="00D47D3F"/>
    <w:rsid w:val="00D50121"/>
    <w:rsid w:val="00D51633"/>
    <w:rsid w:val="00D5470F"/>
    <w:rsid w:val="00D5524F"/>
    <w:rsid w:val="00D55C84"/>
    <w:rsid w:val="00D55E85"/>
    <w:rsid w:val="00D560B0"/>
    <w:rsid w:val="00D56AA6"/>
    <w:rsid w:val="00D56BB2"/>
    <w:rsid w:val="00D573F8"/>
    <w:rsid w:val="00D613B3"/>
    <w:rsid w:val="00D625A3"/>
    <w:rsid w:val="00D639CE"/>
    <w:rsid w:val="00D63B77"/>
    <w:rsid w:val="00D64161"/>
    <w:rsid w:val="00D647CB"/>
    <w:rsid w:val="00D65B7E"/>
    <w:rsid w:val="00D661F4"/>
    <w:rsid w:val="00D6636D"/>
    <w:rsid w:val="00D7075A"/>
    <w:rsid w:val="00D70BF7"/>
    <w:rsid w:val="00D7106C"/>
    <w:rsid w:val="00D71420"/>
    <w:rsid w:val="00D714F1"/>
    <w:rsid w:val="00D716AF"/>
    <w:rsid w:val="00D72939"/>
    <w:rsid w:val="00D7299A"/>
    <w:rsid w:val="00D73875"/>
    <w:rsid w:val="00D748BF"/>
    <w:rsid w:val="00D755E3"/>
    <w:rsid w:val="00D75B1E"/>
    <w:rsid w:val="00D75C48"/>
    <w:rsid w:val="00D767E7"/>
    <w:rsid w:val="00D76AAA"/>
    <w:rsid w:val="00D77160"/>
    <w:rsid w:val="00D77863"/>
    <w:rsid w:val="00D77996"/>
    <w:rsid w:val="00D8055D"/>
    <w:rsid w:val="00D806E7"/>
    <w:rsid w:val="00D80729"/>
    <w:rsid w:val="00D81866"/>
    <w:rsid w:val="00D822F7"/>
    <w:rsid w:val="00D8230D"/>
    <w:rsid w:val="00D82C37"/>
    <w:rsid w:val="00D84374"/>
    <w:rsid w:val="00D84F18"/>
    <w:rsid w:val="00D86525"/>
    <w:rsid w:val="00D86B55"/>
    <w:rsid w:val="00D86C05"/>
    <w:rsid w:val="00D86CCD"/>
    <w:rsid w:val="00D87825"/>
    <w:rsid w:val="00D87E1F"/>
    <w:rsid w:val="00D90308"/>
    <w:rsid w:val="00D9032E"/>
    <w:rsid w:val="00D912B9"/>
    <w:rsid w:val="00D92605"/>
    <w:rsid w:val="00D9393B"/>
    <w:rsid w:val="00D93CDC"/>
    <w:rsid w:val="00D9444D"/>
    <w:rsid w:val="00D94722"/>
    <w:rsid w:val="00D94F31"/>
    <w:rsid w:val="00D95680"/>
    <w:rsid w:val="00D958EF"/>
    <w:rsid w:val="00D96906"/>
    <w:rsid w:val="00D969A1"/>
    <w:rsid w:val="00D96B08"/>
    <w:rsid w:val="00D97006"/>
    <w:rsid w:val="00D9772C"/>
    <w:rsid w:val="00D97A41"/>
    <w:rsid w:val="00D97C6E"/>
    <w:rsid w:val="00DA0048"/>
    <w:rsid w:val="00DA0DA5"/>
    <w:rsid w:val="00DA1A3A"/>
    <w:rsid w:val="00DA1D8D"/>
    <w:rsid w:val="00DA21C4"/>
    <w:rsid w:val="00DA24B2"/>
    <w:rsid w:val="00DA4774"/>
    <w:rsid w:val="00DA712F"/>
    <w:rsid w:val="00DA72EA"/>
    <w:rsid w:val="00DB01E5"/>
    <w:rsid w:val="00DB027B"/>
    <w:rsid w:val="00DB02B0"/>
    <w:rsid w:val="00DB1566"/>
    <w:rsid w:val="00DB1B1B"/>
    <w:rsid w:val="00DB1CC4"/>
    <w:rsid w:val="00DB2E57"/>
    <w:rsid w:val="00DB3F8D"/>
    <w:rsid w:val="00DB49A6"/>
    <w:rsid w:val="00DB4B58"/>
    <w:rsid w:val="00DB5B36"/>
    <w:rsid w:val="00DB5B7C"/>
    <w:rsid w:val="00DB5CF5"/>
    <w:rsid w:val="00DC085E"/>
    <w:rsid w:val="00DC144C"/>
    <w:rsid w:val="00DC1AF1"/>
    <w:rsid w:val="00DC1B0C"/>
    <w:rsid w:val="00DC2064"/>
    <w:rsid w:val="00DC31EB"/>
    <w:rsid w:val="00DC362E"/>
    <w:rsid w:val="00DC3718"/>
    <w:rsid w:val="00DC3846"/>
    <w:rsid w:val="00DC4592"/>
    <w:rsid w:val="00DC4E45"/>
    <w:rsid w:val="00DC5971"/>
    <w:rsid w:val="00DC5C6E"/>
    <w:rsid w:val="00DC5ED3"/>
    <w:rsid w:val="00DC6021"/>
    <w:rsid w:val="00DC63EC"/>
    <w:rsid w:val="00DC78A7"/>
    <w:rsid w:val="00DD0758"/>
    <w:rsid w:val="00DD1729"/>
    <w:rsid w:val="00DD2295"/>
    <w:rsid w:val="00DD292B"/>
    <w:rsid w:val="00DD3EF6"/>
    <w:rsid w:val="00DD51E9"/>
    <w:rsid w:val="00DD5A7F"/>
    <w:rsid w:val="00DD761D"/>
    <w:rsid w:val="00DE0F18"/>
    <w:rsid w:val="00DE29BF"/>
    <w:rsid w:val="00DE2BD7"/>
    <w:rsid w:val="00DE2E6F"/>
    <w:rsid w:val="00DE408D"/>
    <w:rsid w:val="00DE4F17"/>
    <w:rsid w:val="00DE61FE"/>
    <w:rsid w:val="00DE62FE"/>
    <w:rsid w:val="00DE6460"/>
    <w:rsid w:val="00DE7E14"/>
    <w:rsid w:val="00DE7EFD"/>
    <w:rsid w:val="00DF125F"/>
    <w:rsid w:val="00DF17D2"/>
    <w:rsid w:val="00DF190D"/>
    <w:rsid w:val="00DF34C1"/>
    <w:rsid w:val="00DF3712"/>
    <w:rsid w:val="00DF3B4E"/>
    <w:rsid w:val="00DF3F41"/>
    <w:rsid w:val="00DF4FB6"/>
    <w:rsid w:val="00DF56A9"/>
    <w:rsid w:val="00DF5E7B"/>
    <w:rsid w:val="00DF68E6"/>
    <w:rsid w:val="00DF74DA"/>
    <w:rsid w:val="00DF7EEE"/>
    <w:rsid w:val="00E005B9"/>
    <w:rsid w:val="00E009D2"/>
    <w:rsid w:val="00E00BA3"/>
    <w:rsid w:val="00E01BCA"/>
    <w:rsid w:val="00E02315"/>
    <w:rsid w:val="00E02C54"/>
    <w:rsid w:val="00E03252"/>
    <w:rsid w:val="00E06D04"/>
    <w:rsid w:val="00E074E3"/>
    <w:rsid w:val="00E07555"/>
    <w:rsid w:val="00E10A6A"/>
    <w:rsid w:val="00E10B4E"/>
    <w:rsid w:val="00E10BF3"/>
    <w:rsid w:val="00E10D04"/>
    <w:rsid w:val="00E11379"/>
    <w:rsid w:val="00E12056"/>
    <w:rsid w:val="00E123BB"/>
    <w:rsid w:val="00E126C2"/>
    <w:rsid w:val="00E1274E"/>
    <w:rsid w:val="00E12C62"/>
    <w:rsid w:val="00E1447C"/>
    <w:rsid w:val="00E15BA5"/>
    <w:rsid w:val="00E16C61"/>
    <w:rsid w:val="00E172A2"/>
    <w:rsid w:val="00E1761C"/>
    <w:rsid w:val="00E17736"/>
    <w:rsid w:val="00E17C86"/>
    <w:rsid w:val="00E21336"/>
    <w:rsid w:val="00E21A0E"/>
    <w:rsid w:val="00E22EBC"/>
    <w:rsid w:val="00E23319"/>
    <w:rsid w:val="00E233DE"/>
    <w:rsid w:val="00E24017"/>
    <w:rsid w:val="00E24705"/>
    <w:rsid w:val="00E25798"/>
    <w:rsid w:val="00E275EC"/>
    <w:rsid w:val="00E278F1"/>
    <w:rsid w:val="00E27962"/>
    <w:rsid w:val="00E27EE2"/>
    <w:rsid w:val="00E27F4C"/>
    <w:rsid w:val="00E30D7F"/>
    <w:rsid w:val="00E32F5A"/>
    <w:rsid w:val="00E3304A"/>
    <w:rsid w:val="00E3321B"/>
    <w:rsid w:val="00E33248"/>
    <w:rsid w:val="00E336D6"/>
    <w:rsid w:val="00E3424C"/>
    <w:rsid w:val="00E349AB"/>
    <w:rsid w:val="00E34EDD"/>
    <w:rsid w:val="00E3501B"/>
    <w:rsid w:val="00E35208"/>
    <w:rsid w:val="00E35ADA"/>
    <w:rsid w:val="00E3702D"/>
    <w:rsid w:val="00E405A2"/>
    <w:rsid w:val="00E42C05"/>
    <w:rsid w:val="00E42F96"/>
    <w:rsid w:val="00E430D0"/>
    <w:rsid w:val="00E43481"/>
    <w:rsid w:val="00E434A4"/>
    <w:rsid w:val="00E435F5"/>
    <w:rsid w:val="00E4393C"/>
    <w:rsid w:val="00E45C38"/>
    <w:rsid w:val="00E46053"/>
    <w:rsid w:val="00E47998"/>
    <w:rsid w:val="00E523BA"/>
    <w:rsid w:val="00E52BBC"/>
    <w:rsid w:val="00E5454B"/>
    <w:rsid w:val="00E548EC"/>
    <w:rsid w:val="00E54BE0"/>
    <w:rsid w:val="00E55F6A"/>
    <w:rsid w:val="00E60722"/>
    <w:rsid w:val="00E621EC"/>
    <w:rsid w:val="00E63432"/>
    <w:rsid w:val="00E650DB"/>
    <w:rsid w:val="00E65803"/>
    <w:rsid w:val="00E6606A"/>
    <w:rsid w:val="00E666FD"/>
    <w:rsid w:val="00E67057"/>
    <w:rsid w:val="00E7006C"/>
    <w:rsid w:val="00E7049B"/>
    <w:rsid w:val="00E71008"/>
    <w:rsid w:val="00E711BF"/>
    <w:rsid w:val="00E71450"/>
    <w:rsid w:val="00E71B14"/>
    <w:rsid w:val="00E72152"/>
    <w:rsid w:val="00E7245B"/>
    <w:rsid w:val="00E74802"/>
    <w:rsid w:val="00E74C9C"/>
    <w:rsid w:val="00E75E83"/>
    <w:rsid w:val="00E76A9C"/>
    <w:rsid w:val="00E803AD"/>
    <w:rsid w:val="00E805BC"/>
    <w:rsid w:val="00E81B2B"/>
    <w:rsid w:val="00E82FE8"/>
    <w:rsid w:val="00E831F8"/>
    <w:rsid w:val="00E84666"/>
    <w:rsid w:val="00E84B4B"/>
    <w:rsid w:val="00E86D2A"/>
    <w:rsid w:val="00E87810"/>
    <w:rsid w:val="00E90D16"/>
    <w:rsid w:val="00E910F4"/>
    <w:rsid w:val="00E91817"/>
    <w:rsid w:val="00E93FF5"/>
    <w:rsid w:val="00E948E3"/>
    <w:rsid w:val="00E94C87"/>
    <w:rsid w:val="00E964CF"/>
    <w:rsid w:val="00E964E1"/>
    <w:rsid w:val="00E96946"/>
    <w:rsid w:val="00E96CAF"/>
    <w:rsid w:val="00E96EE6"/>
    <w:rsid w:val="00E96F46"/>
    <w:rsid w:val="00E972F4"/>
    <w:rsid w:val="00E974E4"/>
    <w:rsid w:val="00EA0016"/>
    <w:rsid w:val="00EA029C"/>
    <w:rsid w:val="00EA0B9D"/>
    <w:rsid w:val="00EA0C5E"/>
    <w:rsid w:val="00EA0EBE"/>
    <w:rsid w:val="00EA3C5B"/>
    <w:rsid w:val="00EA3E7D"/>
    <w:rsid w:val="00EA3E98"/>
    <w:rsid w:val="00EA53A9"/>
    <w:rsid w:val="00EA54F5"/>
    <w:rsid w:val="00EA591A"/>
    <w:rsid w:val="00EA6A25"/>
    <w:rsid w:val="00EA7187"/>
    <w:rsid w:val="00EA7BCE"/>
    <w:rsid w:val="00EB0FF4"/>
    <w:rsid w:val="00EB28BD"/>
    <w:rsid w:val="00EB2DB7"/>
    <w:rsid w:val="00EB35A4"/>
    <w:rsid w:val="00EB4650"/>
    <w:rsid w:val="00EB4C7D"/>
    <w:rsid w:val="00EB4DB3"/>
    <w:rsid w:val="00EB676C"/>
    <w:rsid w:val="00EB69E2"/>
    <w:rsid w:val="00EB73BE"/>
    <w:rsid w:val="00EB7443"/>
    <w:rsid w:val="00EB7486"/>
    <w:rsid w:val="00EB79BB"/>
    <w:rsid w:val="00EC18CB"/>
    <w:rsid w:val="00EC1E11"/>
    <w:rsid w:val="00EC2F6F"/>
    <w:rsid w:val="00EC343E"/>
    <w:rsid w:val="00EC4166"/>
    <w:rsid w:val="00EC521D"/>
    <w:rsid w:val="00EC71FA"/>
    <w:rsid w:val="00EC7D78"/>
    <w:rsid w:val="00EC7E3E"/>
    <w:rsid w:val="00ED138E"/>
    <w:rsid w:val="00ED1C4B"/>
    <w:rsid w:val="00ED202D"/>
    <w:rsid w:val="00ED2699"/>
    <w:rsid w:val="00ED2C33"/>
    <w:rsid w:val="00ED3B1C"/>
    <w:rsid w:val="00ED4406"/>
    <w:rsid w:val="00ED48DC"/>
    <w:rsid w:val="00ED48F9"/>
    <w:rsid w:val="00ED566B"/>
    <w:rsid w:val="00ED5745"/>
    <w:rsid w:val="00ED5F09"/>
    <w:rsid w:val="00ED624C"/>
    <w:rsid w:val="00ED685D"/>
    <w:rsid w:val="00ED73FE"/>
    <w:rsid w:val="00ED7D82"/>
    <w:rsid w:val="00ED7FF3"/>
    <w:rsid w:val="00EE0C5C"/>
    <w:rsid w:val="00EE1FD7"/>
    <w:rsid w:val="00EE2413"/>
    <w:rsid w:val="00EE3B74"/>
    <w:rsid w:val="00EE3EF4"/>
    <w:rsid w:val="00EE49A7"/>
    <w:rsid w:val="00EE6247"/>
    <w:rsid w:val="00EE6CEA"/>
    <w:rsid w:val="00EF0032"/>
    <w:rsid w:val="00EF03B1"/>
    <w:rsid w:val="00EF0D2A"/>
    <w:rsid w:val="00EF145D"/>
    <w:rsid w:val="00EF2DBE"/>
    <w:rsid w:val="00EF2FD2"/>
    <w:rsid w:val="00EF3652"/>
    <w:rsid w:val="00EF37B0"/>
    <w:rsid w:val="00EF3B4C"/>
    <w:rsid w:val="00EF47DE"/>
    <w:rsid w:val="00EF4FA5"/>
    <w:rsid w:val="00EF5729"/>
    <w:rsid w:val="00EF57F7"/>
    <w:rsid w:val="00EF64C8"/>
    <w:rsid w:val="00EF6720"/>
    <w:rsid w:val="00EF7999"/>
    <w:rsid w:val="00EF7B34"/>
    <w:rsid w:val="00F00343"/>
    <w:rsid w:val="00F01229"/>
    <w:rsid w:val="00F01887"/>
    <w:rsid w:val="00F0368E"/>
    <w:rsid w:val="00F044F0"/>
    <w:rsid w:val="00F04E31"/>
    <w:rsid w:val="00F052B8"/>
    <w:rsid w:val="00F0587F"/>
    <w:rsid w:val="00F06A47"/>
    <w:rsid w:val="00F06D54"/>
    <w:rsid w:val="00F071D9"/>
    <w:rsid w:val="00F07C81"/>
    <w:rsid w:val="00F11E57"/>
    <w:rsid w:val="00F13EE5"/>
    <w:rsid w:val="00F13F17"/>
    <w:rsid w:val="00F14525"/>
    <w:rsid w:val="00F15948"/>
    <w:rsid w:val="00F1659D"/>
    <w:rsid w:val="00F16621"/>
    <w:rsid w:val="00F16BDC"/>
    <w:rsid w:val="00F175EB"/>
    <w:rsid w:val="00F2070E"/>
    <w:rsid w:val="00F20806"/>
    <w:rsid w:val="00F20ABE"/>
    <w:rsid w:val="00F20B1A"/>
    <w:rsid w:val="00F21B91"/>
    <w:rsid w:val="00F21CA6"/>
    <w:rsid w:val="00F21D27"/>
    <w:rsid w:val="00F22D03"/>
    <w:rsid w:val="00F22E15"/>
    <w:rsid w:val="00F22EB9"/>
    <w:rsid w:val="00F23D1A"/>
    <w:rsid w:val="00F23DEF"/>
    <w:rsid w:val="00F2439B"/>
    <w:rsid w:val="00F24B31"/>
    <w:rsid w:val="00F24C54"/>
    <w:rsid w:val="00F25828"/>
    <w:rsid w:val="00F25A77"/>
    <w:rsid w:val="00F26F81"/>
    <w:rsid w:val="00F274C9"/>
    <w:rsid w:val="00F3157D"/>
    <w:rsid w:val="00F31E47"/>
    <w:rsid w:val="00F33C23"/>
    <w:rsid w:val="00F33C8F"/>
    <w:rsid w:val="00F3433C"/>
    <w:rsid w:val="00F34470"/>
    <w:rsid w:val="00F34B93"/>
    <w:rsid w:val="00F36751"/>
    <w:rsid w:val="00F36C46"/>
    <w:rsid w:val="00F37946"/>
    <w:rsid w:val="00F37B23"/>
    <w:rsid w:val="00F37D65"/>
    <w:rsid w:val="00F42488"/>
    <w:rsid w:val="00F42EC2"/>
    <w:rsid w:val="00F434C5"/>
    <w:rsid w:val="00F44404"/>
    <w:rsid w:val="00F45AC3"/>
    <w:rsid w:val="00F4736E"/>
    <w:rsid w:val="00F4766F"/>
    <w:rsid w:val="00F47AE6"/>
    <w:rsid w:val="00F50694"/>
    <w:rsid w:val="00F50D51"/>
    <w:rsid w:val="00F511ED"/>
    <w:rsid w:val="00F51367"/>
    <w:rsid w:val="00F5236A"/>
    <w:rsid w:val="00F5260D"/>
    <w:rsid w:val="00F53655"/>
    <w:rsid w:val="00F54765"/>
    <w:rsid w:val="00F54D0F"/>
    <w:rsid w:val="00F55796"/>
    <w:rsid w:val="00F56EA6"/>
    <w:rsid w:val="00F57429"/>
    <w:rsid w:val="00F57946"/>
    <w:rsid w:val="00F57EBF"/>
    <w:rsid w:val="00F6000A"/>
    <w:rsid w:val="00F604A6"/>
    <w:rsid w:val="00F609E4"/>
    <w:rsid w:val="00F6107A"/>
    <w:rsid w:val="00F612BA"/>
    <w:rsid w:val="00F61AD8"/>
    <w:rsid w:val="00F61B51"/>
    <w:rsid w:val="00F6218E"/>
    <w:rsid w:val="00F62705"/>
    <w:rsid w:val="00F629DC"/>
    <w:rsid w:val="00F62A69"/>
    <w:rsid w:val="00F63205"/>
    <w:rsid w:val="00F633C0"/>
    <w:rsid w:val="00F6348D"/>
    <w:rsid w:val="00F63C48"/>
    <w:rsid w:val="00F644B4"/>
    <w:rsid w:val="00F65567"/>
    <w:rsid w:val="00F655BF"/>
    <w:rsid w:val="00F67258"/>
    <w:rsid w:val="00F6799C"/>
    <w:rsid w:val="00F70CD7"/>
    <w:rsid w:val="00F73F9B"/>
    <w:rsid w:val="00F74712"/>
    <w:rsid w:val="00F74EAB"/>
    <w:rsid w:val="00F752EB"/>
    <w:rsid w:val="00F754A0"/>
    <w:rsid w:val="00F76321"/>
    <w:rsid w:val="00F76E01"/>
    <w:rsid w:val="00F77F1E"/>
    <w:rsid w:val="00F81E23"/>
    <w:rsid w:val="00F82296"/>
    <w:rsid w:val="00F82FC8"/>
    <w:rsid w:val="00F8317D"/>
    <w:rsid w:val="00F84EEF"/>
    <w:rsid w:val="00F85A2C"/>
    <w:rsid w:val="00F86318"/>
    <w:rsid w:val="00F86861"/>
    <w:rsid w:val="00F86A36"/>
    <w:rsid w:val="00F90197"/>
    <w:rsid w:val="00F9024C"/>
    <w:rsid w:val="00F90DB5"/>
    <w:rsid w:val="00F90E28"/>
    <w:rsid w:val="00F90FDE"/>
    <w:rsid w:val="00F91044"/>
    <w:rsid w:val="00F9213D"/>
    <w:rsid w:val="00F92638"/>
    <w:rsid w:val="00F926AF"/>
    <w:rsid w:val="00F93402"/>
    <w:rsid w:val="00F943C9"/>
    <w:rsid w:val="00F96208"/>
    <w:rsid w:val="00F96AF3"/>
    <w:rsid w:val="00F96BC8"/>
    <w:rsid w:val="00F979F8"/>
    <w:rsid w:val="00FA0761"/>
    <w:rsid w:val="00FA11B7"/>
    <w:rsid w:val="00FA19A0"/>
    <w:rsid w:val="00FA2F47"/>
    <w:rsid w:val="00FA44D6"/>
    <w:rsid w:val="00FA520E"/>
    <w:rsid w:val="00FA5696"/>
    <w:rsid w:val="00FA5A28"/>
    <w:rsid w:val="00FA6A19"/>
    <w:rsid w:val="00FA6B25"/>
    <w:rsid w:val="00FB0478"/>
    <w:rsid w:val="00FB1355"/>
    <w:rsid w:val="00FB1778"/>
    <w:rsid w:val="00FB1840"/>
    <w:rsid w:val="00FB19B1"/>
    <w:rsid w:val="00FB2359"/>
    <w:rsid w:val="00FB23CF"/>
    <w:rsid w:val="00FB2458"/>
    <w:rsid w:val="00FB26B3"/>
    <w:rsid w:val="00FB2833"/>
    <w:rsid w:val="00FB36FA"/>
    <w:rsid w:val="00FB3BFB"/>
    <w:rsid w:val="00FB3DF0"/>
    <w:rsid w:val="00FB4409"/>
    <w:rsid w:val="00FB500E"/>
    <w:rsid w:val="00FB572C"/>
    <w:rsid w:val="00FB5FD2"/>
    <w:rsid w:val="00FB5FE3"/>
    <w:rsid w:val="00FB7CE1"/>
    <w:rsid w:val="00FC1684"/>
    <w:rsid w:val="00FC2AAE"/>
    <w:rsid w:val="00FC41B3"/>
    <w:rsid w:val="00FC43A3"/>
    <w:rsid w:val="00FC46D9"/>
    <w:rsid w:val="00FC49FF"/>
    <w:rsid w:val="00FC6997"/>
    <w:rsid w:val="00FC6DAD"/>
    <w:rsid w:val="00FC6DCF"/>
    <w:rsid w:val="00FC72EB"/>
    <w:rsid w:val="00FD08E5"/>
    <w:rsid w:val="00FD0E9E"/>
    <w:rsid w:val="00FD15AD"/>
    <w:rsid w:val="00FD2219"/>
    <w:rsid w:val="00FD30D3"/>
    <w:rsid w:val="00FD3427"/>
    <w:rsid w:val="00FD3AB5"/>
    <w:rsid w:val="00FD7B74"/>
    <w:rsid w:val="00FE06E2"/>
    <w:rsid w:val="00FE0EDA"/>
    <w:rsid w:val="00FE152F"/>
    <w:rsid w:val="00FE17EF"/>
    <w:rsid w:val="00FE184E"/>
    <w:rsid w:val="00FE26BB"/>
    <w:rsid w:val="00FE2912"/>
    <w:rsid w:val="00FE2FD6"/>
    <w:rsid w:val="00FE3619"/>
    <w:rsid w:val="00FE3A89"/>
    <w:rsid w:val="00FE3B2B"/>
    <w:rsid w:val="00FE42CC"/>
    <w:rsid w:val="00FE479E"/>
    <w:rsid w:val="00FE6346"/>
    <w:rsid w:val="00FE6D6E"/>
    <w:rsid w:val="00FE7858"/>
    <w:rsid w:val="00FF206E"/>
    <w:rsid w:val="00FF20FB"/>
    <w:rsid w:val="00FF3804"/>
    <w:rsid w:val="00FF3E14"/>
    <w:rsid w:val="00FF4248"/>
    <w:rsid w:val="00FF4BE1"/>
    <w:rsid w:val="00FF6577"/>
    <w:rsid w:val="00FF7F5A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0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63205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link w:val="Heading2Char"/>
    <w:qFormat/>
    <w:rsid w:val="00F63205"/>
    <w:pPr>
      <w:keepNext/>
      <w:jc w:val="lowKashida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F63205"/>
    <w:pPr>
      <w:keepNext/>
      <w:outlineLvl w:val="2"/>
    </w:pPr>
    <w:rPr>
      <w:rFonts w:cs="Simplified Arabic"/>
      <w:b/>
      <w:bCs/>
    </w:rPr>
  </w:style>
  <w:style w:type="paragraph" w:styleId="Heading4">
    <w:name w:val="heading 4"/>
    <w:basedOn w:val="Normal"/>
    <w:next w:val="Normal"/>
    <w:qFormat/>
    <w:rsid w:val="00F63205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F63205"/>
    <w:pPr>
      <w:keepNext/>
      <w:jc w:val="both"/>
      <w:outlineLvl w:val="4"/>
    </w:pPr>
    <w:rPr>
      <w:rFonts w:cs="Simplified Arabic"/>
      <w:b/>
      <w:bCs/>
    </w:rPr>
  </w:style>
  <w:style w:type="paragraph" w:styleId="Heading6">
    <w:name w:val="heading 6"/>
    <w:basedOn w:val="Normal"/>
    <w:next w:val="Normal"/>
    <w:link w:val="Heading6Char"/>
    <w:qFormat/>
    <w:rsid w:val="00F63205"/>
    <w:pPr>
      <w:keepNext/>
      <w:jc w:val="center"/>
      <w:outlineLvl w:val="5"/>
    </w:pPr>
    <w:rPr>
      <w:rFonts w:cs="Simplified Arabic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63205"/>
    <w:pPr>
      <w:keepNext/>
      <w:jc w:val="lowKashida"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63205"/>
    <w:pPr>
      <w:keepNext/>
      <w:jc w:val="lowKashida"/>
      <w:outlineLvl w:val="7"/>
    </w:pPr>
    <w:rPr>
      <w:rFonts w:cs="Simplified Arabic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F63205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63205"/>
    <w:pPr>
      <w:jc w:val="lowKashida"/>
    </w:pPr>
    <w:rPr>
      <w:rFonts w:cs="Simplified Arabic"/>
    </w:rPr>
  </w:style>
  <w:style w:type="paragraph" w:styleId="BodyTextIndent2">
    <w:name w:val="Body Text Indent 2"/>
    <w:basedOn w:val="Normal"/>
    <w:semiHidden/>
    <w:rsid w:val="00F63205"/>
    <w:pPr>
      <w:tabs>
        <w:tab w:val="center" w:pos="386"/>
      </w:tabs>
      <w:ind w:left="206"/>
      <w:jc w:val="lowKashida"/>
    </w:pPr>
    <w:rPr>
      <w:rFonts w:cs="Simplified Arabic"/>
    </w:rPr>
  </w:style>
  <w:style w:type="paragraph" w:styleId="Header">
    <w:name w:val="header"/>
    <w:basedOn w:val="Normal"/>
    <w:uiPriority w:val="99"/>
    <w:rsid w:val="00F63205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F63205"/>
    <w:rPr>
      <w:rFonts w:cs="Traditional Arabic"/>
      <w:noProof/>
    </w:rPr>
  </w:style>
  <w:style w:type="paragraph" w:styleId="Title">
    <w:name w:val="Title"/>
    <w:basedOn w:val="Normal"/>
    <w:link w:val="TitleChar"/>
    <w:qFormat/>
    <w:rsid w:val="00F63205"/>
    <w:pPr>
      <w:jc w:val="center"/>
    </w:pPr>
    <w:rPr>
      <w:rFonts w:cs="Simplified Arabic"/>
      <w:b/>
      <w:bCs/>
    </w:rPr>
  </w:style>
  <w:style w:type="paragraph" w:styleId="Footer">
    <w:name w:val="footer"/>
    <w:basedOn w:val="Normal"/>
    <w:uiPriority w:val="99"/>
    <w:unhideWhenUsed/>
    <w:rsid w:val="00F632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semiHidden/>
    <w:rsid w:val="00F63205"/>
    <w:rPr>
      <w:sz w:val="24"/>
      <w:szCs w:val="24"/>
      <w:lang w:eastAsia="ar-SA"/>
    </w:rPr>
  </w:style>
  <w:style w:type="paragraph" w:styleId="BodyText2">
    <w:name w:val="Body Text 2"/>
    <w:basedOn w:val="Normal"/>
    <w:semiHidden/>
    <w:rsid w:val="00F63205"/>
    <w:pPr>
      <w:ind w:right="720"/>
      <w:jc w:val="lowKashida"/>
    </w:pPr>
    <w:rPr>
      <w:rFonts w:cs="Simplified Arabic"/>
      <w:b/>
      <w:bCs/>
    </w:rPr>
  </w:style>
  <w:style w:type="character" w:styleId="PageNumber">
    <w:name w:val="page number"/>
    <w:basedOn w:val="DefaultParagraphFont"/>
    <w:semiHidden/>
    <w:rsid w:val="00F63205"/>
  </w:style>
  <w:style w:type="paragraph" w:styleId="FootnoteText">
    <w:name w:val="footnote text"/>
    <w:basedOn w:val="Normal"/>
    <w:link w:val="FootnoteTextChar"/>
    <w:semiHidden/>
    <w:rsid w:val="00F6320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B75C8"/>
    <w:rPr>
      <w:rFonts w:cs="Simplified Arabic"/>
      <w:b/>
      <w:bCs/>
      <w:color w:val="000000" w:themeColor="text1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F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qFormat/>
    <w:rsid w:val="005071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F06"/>
    <w:pPr>
      <w:bidi w:val="0"/>
      <w:spacing w:before="100" w:beforeAutospacing="1" w:after="100" w:afterAutospacing="1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F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F17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E4F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5B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5B3"/>
    <w:rPr>
      <w:b/>
      <w:bCs/>
      <w:lang w:eastAsia="ar-SA"/>
    </w:rPr>
  </w:style>
  <w:style w:type="character" w:customStyle="1" w:styleId="Heading1Char">
    <w:name w:val="Heading 1 Char"/>
    <w:basedOn w:val="DefaultParagraphFont"/>
    <w:link w:val="Heading1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C743BA"/>
    <w:rPr>
      <w:rFonts w:cs="Simplified Arabic"/>
      <w:sz w:val="24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C743BA"/>
    <w:rPr>
      <w:lang w:eastAsia="ar-SA"/>
    </w:rPr>
  </w:style>
  <w:style w:type="paragraph" w:styleId="Caption">
    <w:name w:val="caption"/>
    <w:basedOn w:val="Normal"/>
    <w:next w:val="Normal"/>
    <w:qFormat/>
    <w:rsid w:val="00DE0F18"/>
    <w:pPr>
      <w:autoSpaceDE w:val="0"/>
      <w:autoSpaceDN w:val="0"/>
      <w:jc w:val="center"/>
    </w:pPr>
    <w:rPr>
      <w:b/>
      <w:bCs/>
      <w:sz w:val="2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CC3C27"/>
    <w:rPr>
      <w:rFonts w:cs="Simplified Arabic"/>
      <w:b/>
      <w:bCs/>
      <w:sz w:val="24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CC3C27"/>
    <w:pPr>
      <w:jc w:val="center"/>
    </w:pPr>
    <w:rPr>
      <w:rFonts w:cs="Simplified Arabic"/>
      <w:b/>
      <w:bCs/>
    </w:rPr>
  </w:style>
  <w:style w:type="character" w:customStyle="1" w:styleId="SubtitleChar">
    <w:name w:val="Subtitle Char"/>
    <w:basedOn w:val="DefaultParagraphFont"/>
    <w:link w:val="Subtitle"/>
    <w:rsid w:val="00CC3C27"/>
    <w:rPr>
      <w:rFonts w:cs="Simplified Arabic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C3C2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08C8-B49A-4E3C-BDDE-E8C0A6CC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الفصل الثاني</vt:lpstr>
    </vt:vector>
  </TitlesOfParts>
  <Company>Hewlett-Packard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الثاني</dc:title>
  <dc:creator>mqlalwah</dc:creator>
  <cp:lastModifiedBy>hbadran</cp:lastModifiedBy>
  <cp:revision>2</cp:revision>
  <cp:lastPrinted>2018-12-24T06:13:00Z</cp:lastPrinted>
  <dcterms:created xsi:type="dcterms:W3CDTF">2018-12-24T06:21:00Z</dcterms:created>
  <dcterms:modified xsi:type="dcterms:W3CDTF">2018-12-24T06:21:00Z</dcterms:modified>
</cp:coreProperties>
</file>