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10A79" w14:textId="77777777" w:rsidR="00C03CCF" w:rsidRDefault="00C03CCF" w:rsidP="004C0AEA">
      <w:pPr>
        <w:pStyle w:val="Title"/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  <w:lang w:val="en-US"/>
        </w:rPr>
      </w:pPr>
      <w:bookmarkStart w:id="0" w:name="OLE_LINK3"/>
      <w:bookmarkStart w:id="1" w:name="OLE_LINK4"/>
      <w:r w:rsidRPr="00C03CCF">
        <w:rPr>
          <w:rFonts w:ascii="Simplified Arabic" w:hAnsi="Simplified Arabic" w:cs="Simplified Arabic" w:hint="cs"/>
          <w:noProof w:val="0"/>
          <w:color w:val="000000"/>
          <w:sz w:val="32"/>
          <w:szCs w:val="32"/>
          <w:u w:val="none"/>
          <w:rtl/>
          <w:lang w:val="en-US"/>
        </w:rPr>
        <w:t xml:space="preserve">الإحصاء الفلسطيني: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ارتفاع</w:t>
      </w:r>
      <w:r w:rsidR="006C1704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مؤشر</w:t>
      </w:r>
      <w:r w:rsidR="006C1704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أسعار</w:t>
      </w:r>
      <w:r w:rsidR="006C1704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تكاليف</w:t>
      </w:r>
      <w:r w:rsidR="006C1704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البناء</w:t>
      </w:r>
      <w:r w:rsidR="006C1704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والطرق</w:t>
      </w:r>
      <w:r w:rsidR="006C1704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وشبكات</w:t>
      </w:r>
      <w:r w:rsidR="006C1704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المياه</w:t>
      </w:r>
      <w:r w:rsidR="006C1704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و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  <w:lang w:val="en-US"/>
        </w:rPr>
        <w:t>الصرف</w:t>
      </w:r>
      <w:r w:rsidR="006C1704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  <w:lang w:val="en-US"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  <w:lang w:val="en-US"/>
        </w:rPr>
        <w:t>الصحي</w:t>
      </w:r>
    </w:p>
    <w:p w14:paraId="309A2D4E" w14:textId="7DD6A190" w:rsidR="004C0AEA" w:rsidRPr="00C03CCF" w:rsidRDefault="006C1704" w:rsidP="004C0AEA">
      <w:pPr>
        <w:pStyle w:val="Title"/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  <w:lang w:val="en-US"/>
        </w:rPr>
      </w:pPr>
      <w:r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في</w:t>
      </w:r>
      <w:r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الضفة</w:t>
      </w:r>
      <w:r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الغربية*</w:t>
      </w:r>
      <w:r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خلال</w:t>
      </w:r>
      <w:r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>العام</w:t>
      </w:r>
      <w:r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rtl/>
        </w:rPr>
        <w:t xml:space="preserve"> </w:t>
      </w:r>
      <w:r w:rsidR="004C0AEA" w:rsidRPr="00C03CCF">
        <w:rPr>
          <w:rFonts w:ascii="Simplified Arabic" w:hAnsi="Simplified Arabic" w:cs="Simplified Arabic"/>
          <w:noProof w:val="0"/>
          <w:color w:val="000000"/>
          <w:sz w:val="32"/>
          <w:szCs w:val="32"/>
          <w:u w:val="none"/>
          <w:lang w:val="en-US"/>
        </w:rPr>
        <w:t>2024</w:t>
      </w:r>
    </w:p>
    <w:p w14:paraId="25C8E340" w14:textId="7E254380" w:rsidR="004C0AEA" w:rsidRPr="00AA4DDD" w:rsidRDefault="004C0AEA" w:rsidP="004C0AEA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12"/>
          <w:szCs w:val="12"/>
          <w:rtl/>
        </w:rPr>
      </w:pPr>
    </w:p>
    <w:p w14:paraId="1BDB4B70" w14:textId="77777777" w:rsidR="00C03CCF" w:rsidRDefault="00C03CCF" w:rsidP="00C03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6C2E6E4" w14:textId="3670AE4B" w:rsidR="004C0AEA" w:rsidRPr="00C03CCF" w:rsidRDefault="004C0AEA" w:rsidP="00C03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البناء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للمباني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السكنية</w:t>
      </w:r>
    </w:p>
    <w:p w14:paraId="1E208E19" w14:textId="1B75DF7A" w:rsidR="004C0AEA" w:rsidRPr="00C03CCF" w:rsidRDefault="004C0AEA" w:rsidP="004C0AEA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سجل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تكاليف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البناء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للمباني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السكنية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في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الضفة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الغربية*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ارتفاعاً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نسبته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1.00%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2024</w:t>
      </w:r>
      <w:r w:rsidR="00737EBB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،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مقارنة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مع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السابق،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حيث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بلغ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متوسط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تكاليف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البناء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للمباني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السكنية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121.70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2024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(سنة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الأساس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2013=100).</w:t>
      </w:r>
    </w:p>
    <w:p w14:paraId="61F823AE" w14:textId="77777777" w:rsidR="004C0AEA" w:rsidRPr="00C03CCF" w:rsidRDefault="004C0AEA" w:rsidP="004C0AEA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</w:p>
    <w:p w14:paraId="077DB8CF" w14:textId="7927F515" w:rsidR="004C0AEA" w:rsidRPr="00C03CCF" w:rsidRDefault="004C0AEA" w:rsidP="00EE575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03CCF">
        <w:rPr>
          <w:rFonts w:ascii="Simplified Arabic" w:hAnsi="Simplified Arabic" w:cs="Simplified Arabic"/>
          <w:sz w:val="26"/>
          <w:szCs w:val="26"/>
          <w:rtl/>
        </w:rPr>
        <w:t>على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مستوى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المجموعات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الرئيسية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الأكثر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تأثيراً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على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القياسي،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مجموعة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وأجور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العمال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نسبته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2.46%</w:t>
      </w:r>
      <w:r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>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>وسجلت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مجموعة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الخامات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والمواد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الأولية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نسبته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0.31%،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حيث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7EBB" w:rsidRPr="00C03CCF">
        <w:rPr>
          <w:rFonts w:ascii="Simplified Arabic" w:hAnsi="Simplified Arabic" w:cs="Simplified Arabic"/>
          <w:sz w:val="26"/>
          <w:szCs w:val="26"/>
          <w:rtl/>
        </w:rPr>
        <w:t>الأسمنت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والجير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والجبس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2.38%،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قطع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وتشكيل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الأحجار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7EBB"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1.08%،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على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الرغم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من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منتجات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الخشب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7EBB"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1.58%،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الحديد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والصلب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7EBB"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0.62%،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و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مجموعة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استئجار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المعدات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7EBB" w:rsidRPr="00C03CCF">
        <w:rPr>
          <w:rFonts w:ascii="Simplified Arabic" w:hAnsi="Simplified Arabic" w:cs="Simplified Arabic"/>
          <w:sz w:val="26"/>
          <w:szCs w:val="26"/>
          <w:rtl/>
        </w:rPr>
        <w:t>نسبته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0.10%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2024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بالعام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السابق.</w:t>
      </w:r>
    </w:p>
    <w:p w14:paraId="7D279491" w14:textId="77777777" w:rsidR="004C0AEA" w:rsidRPr="00C03CCF" w:rsidRDefault="004C0AEA" w:rsidP="004C0AEA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</w:p>
    <w:p w14:paraId="727B87CB" w14:textId="604B1F01" w:rsidR="004C0AEA" w:rsidRPr="00C03CCF" w:rsidRDefault="004C0AEA" w:rsidP="00C03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البناء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للمباني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السكنية</w:t>
      </w:r>
    </w:p>
    <w:p w14:paraId="0815602D" w14:textId="0E686613" w:rsidR="004C0AEA" w:rsidRPr="00C03CCF" w:rsidRDefault="004C0AEA" w:rsidP="006A0DB7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سجل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تكاليف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البناء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للمباني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غير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السكنية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في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الضفة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الغربية*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ارتفاعاً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نسبته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="00E76AA1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0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.</w:t>
      </w:r>
      <w:r w:rsidR="006A0DB7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91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%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2024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مقارنة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مع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السابق،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حيث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بلغ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متوسط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تكاليف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البناء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للمباني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غير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السكنية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6A0DB7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120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.</w:t>
      </w:r>
      <w:r w:rsidR="006A0DB7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61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2024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(سنة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الأساس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2013=100).</w:t>
      </w:r>
    </w:p>
    <w:p w14:paraId="37174157" w14:textId="77777777" w:rsidR="004C0AEA" w:rsidRPr="00C03CCF" w:rsidRDefault="004C0AEA" w:rsidP="004C0AEA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</w:p>
    <w:p w14:paraId="123279C7" w14:textId="1A54CB56" w:rsidR="004C0AEA" w:rsidRPr="00C03CCF" w:rsidRDefault="00737EBB" w:rsidP="00EE575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03CCF">
        <w:rPr>
          <w:rFonts w:ascii="Simplified Arabic" w:hAnsi="Simplified Arabic" w:cs="Simplified Arabic"/>
          <w:sz w:val="26"/>
          <w:szCs w:val="26"/>
          <w:rtl/>
        </w:rPr>
        <w:t>و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على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مستوى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المجموعات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الرئيسية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الأكثر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تأثيراً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على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القياسي،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مجموعة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وأجور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العمال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نسبته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2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.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46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%</w:t>
      </w:r>
      <w:r w:rsidR="004C0AEA"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>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مجموعة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الخامات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والمواد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الأولية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نسبته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0.22%،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حيث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الأسمنت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والجير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والجبس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2.38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%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قطع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وتشكيل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الأحجار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1.16%،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على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الرغم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من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منتجات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الخشب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1.75%،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الحديد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والصلب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0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.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62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%،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و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مجموعة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استئجار</w:t>
      </w:r>
      <w:r w:rsidR="006C1704"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المعدات</w:t>
      </w:r>
      <w:r w:rsidR="006C1704"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>نسبته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0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.</w:t>
      </w:r>
      <w:r w:rsidR="006A0DB7" w:rsidRPr="00C03CCF">
        <w:rPr>
          <w:rFonts w:ascii="Simplified Arabic" w:hAnsi="Simplified Arabic" w:cs="Simplified Arabic"/>
          <w:sz w:val="26"/>
          <w:szCs w:val="26"/>
          <w:rtl/>
        </w:rPr>
        <w:t>37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%</w:t>
      </w:r>
      <w:r w:rsidR="004C0AEA"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>،</w:t>
      </w:r>
      <w:r w:rsidR="006C1704"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2024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بالعام</w:t>
      </w:r>
      <w:r w:rsidR="006C1704"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السابق.</w:t>
      </w:r>
    </w:p>
    <w:p w14:paraId="35769299" w14:textId="77777777" w:rsidR="004C0AEA" w:rsidRPr="00C03CCF" w:rsidRDefault="004C0AEA" w:rsidP="004C0AEA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14:paraId="20E2C01D" w14:textId="42095CC3" w:rsidR="004C0AEA" w:rsidRPr="00C03CCF" w:rsidRDefault="004C0AEA" w:rsidP="00C03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البناء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لمباني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العظم</w:t>
      </w:r>
    </w:p>
    <w:p w14:paraId="35F0EBC8" w14:textId="50AEEF4D" w:rsidR="004C0AEA" w:rsidRPr="00C03CCF" w:rsidRDefault="004C0AEA" w:rsidP="00893E0D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سجل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تكاليف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البناء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لمباني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العظم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في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الضفة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الغربية*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ارتفاعاً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نسبته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0.</w:t>
      </w:r>
      <w:r w:rsidR="00893E0D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64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%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2024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مقارنة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مع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السابق،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حيث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بلغ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متوسط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تكاليف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البناء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لمباني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العظم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120.</w:t>
      </w:r>
      <w:r w:rsidR="00893E0D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98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2024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(سنة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الأساس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2013=100).</w:t>
      </w:r>
    </w:p>
    <w:p w14:paraId="769229ED" w14:textId="77777777" w:rsidR="004C0AEA" w:rsidRPr="00C03CCF" w:rsidRDefault="004C0AEA" w:rsidP="004C0AEA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</w:p>
    <w:p w14:paraId="605F53DE" w14:textId="0E44445E" w:rsidR="004C0AEA" w:rsidRPr="00C03CCF" w:rsidRDefault="006C1704" w:rsidP="00893E0D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03CCF">
        <w:rPr>
          <w:rFonts w:ascii="Simplified Arabic" w:hAnsi="Simplified Arabic" w:cs="Simplified Arabic"/>
          <w:sz w:val="26"/>
          <w:szCs w:val="26"/>
          <w:rtl/>
        </w:rPr>
        <w:t>و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على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مستوى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المجموعات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الرئيسية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الأكثر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تأثيراً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على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الرقم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القياسي،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سجلت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>أسعار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مجموعة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تكاليف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وأجور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العمال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نسبته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2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.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71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%،</w:t>
      </w:r>
      <w:r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في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حين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سجلت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مجموعة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الخامات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والمواد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الأولية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نسبته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0.27%،</w:t>
      </w:r>
      <w:r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حيث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منتجات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lastRenderedPageBreak/>
        <w:t>الخشب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5.64%،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الحديد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والصلب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0.62%،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على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الرغم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من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الأسمنت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والجير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والجبس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2.43%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>وسجلت</w:t>
      </w:r>
      <w:r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>أسعار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مجموعة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استئجار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المعدات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نسبته 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0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.</w:t>
      </w:r>
      <w:r w:rsidR="00893E0D" w:rsidRPr="00C03CCF">
        <w:rPr>
          <w:rFonts w:ascii="Simplified Arabic" w:hAnsi="Simplified Arabic" w:cs="Simplified Arabic"/>
          <w:sz w:val="26"/>
          <w:szCs w:val="26"/>
          <w:rtl/>
        </w:rPr>
        <w:t>13</w:t>
      </w:r>
      <w:r w:rsidR="00BC0D8C" w:rsidRPr="00C03CCF">
        <w:rPr>
          <w:rFonts w:ascii="Simplified Arabic" w:hAnsi="Simplified Arabic" w:cs="Simplified Arabic"/>
          <w:sz w:val="26"/>
          <w:szCs w:val="26"/>
          <w:rtl/>
        </w:rPr>
        <w:t>%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خلال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العام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2024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بالعام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السابق.</w:t>
      </w:r>
    </w:p>
    <w:p w14:paraId="442165B5" w14:textId="77777777" w:rsidR="004C0AEA" w:rsidRPr="00C03CCF" w:rsidRDefault="004C0AEA" w:rsidP="004C0AEA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</w:p>
    <w:p w14:paraId="5047A679" w14:textId="6BFF76CE" w:rsidR="004C0AEA" w:rsidRPr="00C03CCF" w:rsidRDefault="004C0AEA" w:rsidP="00C03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الطرق</w:t>
      </w:r>
    </w:p>
    <w:p w14:paraId="67CA4200" w14:textId="3793BE78" w:rsidR="004C0AEA" w:rsidRPr="00C03CCF" w:rsidRDefault="004C0AEA" w:rsidP="005200EE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سجل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تكاليف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إنشاء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الطرق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بأنواعها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المختلفة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في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الضفة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الغربية*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ارتفاعاً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نسبته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="005200EE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  <w:lang w:val="en-US"/>
        </w:rPr>
        <w:t>0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  <w:lang w:val="en-US"/>
        </w:rPr>
        <w:t>.</w:t>
      </w:r>
      <w:r w:rsidR="005200EE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  <w:lang w:val="en-US"/>
        </w:rPr>
        <w:t>37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%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lang w:val="en-US"/>
        </w:rPr>
        <w:t>2024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مقارنة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مع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السابق،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حيث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بلغ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متوسط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تكاليف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الطرق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5200EE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117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.</w:t>
      </w:r>
      <w:r w:rsidR="005200EE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44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2024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(شهر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الأساس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كانون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ال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أول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2008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=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100).</w:t>
      </w:r>
    </w:p>
    <w:p w14:paraId="5552F63B" w14:textId="77777777" w:rsidR="004C0AEA" w:rsidRPr="00C03CCF" w:rsidRDefault="004C0AEA" w:rsidP="004C0AEA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</w:p>
    <w:p w14:paraId="6ABD156A" w14:textId="4F4EC03C" w:rsidR="004C0AEA" w:rsidRPr="00C03CCF" w:rsidRDefault="006C1704" w:rsidP="00F877C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مجموعة</w:t>
      </w:r>
      <w:r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الخامات</w:t>
      </w:r>
      <w:r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والمواد</w:t>
      </w:r>
      <w:r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الأولية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0.90%،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00EE" w:rsidRPr="00C03CCF">
        <w:rPr>
          <w:rFonts w:ascii="Simplified Arabic" w:hAnsi="Simplified Arabic" w:cs="Simplified Arabic"/>
          <w:sz w:val="26"/>
          <w:szCs w:val="26"/>
          <w:rtl/>
        </w:rPr>
        <w:t>حيث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00EE" w:rsidRPr="00C03CCF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6F93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6F93" w:rsidRPr="00C03CCF">
        <w:rPr>
          <w:rFonts w:ascii="Simplified Arabic" w:hAnsi="Simplified Arabic" w:cs="Simplified Arabic"/>
          <w:sz w:val="26"/>
          <w:szCs w:val="26"/>
          <w:rtl/>
        </w:rPr>
        <w:t>الإسفلت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6F93" w:rsidRPr="00C03CCF">
        <w:rPr>
          <w:rFonts w:ascii="Simplified Arabic" w:hAnsi="Simplified Arabic" w:cs="Simplified Arabic"/>
          <w:sz w:val="26"/>
          <w:szCs w:val="26"/>
          <w:rtl/>
        </w:rPr>
        <w:t>ومنتجاته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6F93"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6F93" w:rsidRPr="00C03CCF">
        <w:rPr>
          <w:rFonts w:ascii="Simplified Arabic" w:hAnsi="Simplified Arabic" w:cs="Simplified Arabic"/>
          <w:sz w:val="26"/>
          <w:szCs w:val="26"/>
          <w:rtl/>
        </w:rPr>
        <w:t>6.08%،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6F93" w:rsidRPr="00C03CCF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الأسمنت </w:t>
      </w:r>
      <w:r w:rsidR="00946F93"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6F93" w:rsidRPr="00C03CCF">
        <w:rPr>
          <w:rFonts w:ascii="Simplified Arabic" w:hAnsi="Simplified Arabic" w:cs="Simplified Arabic"/>
          <w:sz w:val="26"/>
          <w:szCs w:val="26"/>
          <w:rtl/>
        </w:rPr>
        <w:t>2.39%،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حين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00EE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00EE" w:rsidRPr="00C03CCF">
        <w:rPr>
          <w:rFonts w:ascii="Simplified Arabic" w:hAnsi="Simplified Arabic" w:cs="Simplified Arabic"/>
          <w:sz w:val="26"/>
          <w:szCs w:val="26"/>
          <w:rtl/>
        </w:rPr>
        <w:t>الحديد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00EE" w:rsidRPr="00C03CCF">
        <w:rPr>
          <w:rFonts w:ascii="Simplified Arabic" w:hAnsi="Simplified Arabic" w:cs="Simplified Arabic"/>
          <w:sz w:val="26"/>
          <w:szCs w:val="26"/>
          <w:rtl/>
        </w:rPr>
        <w:t>والصلب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5200EE" w:rsidRPr="00C03CCF">
        <w:rPr>
          <w:rFonts w:ascii="Simplified Arabic" w:hAnsi="Simplified Arabic" w:cs="Simplified Arabic"/>
          <w:sz w:val="26"/>
          <w:szCs w:val="26"/>
          <w:rtl/>
        </w:rPr>
        <w:t>0.61%،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877C1" w:rsidRPr="00C03CCF">
        <w:rPr>
          <w:rFonts w:ascii="Simplified Arabic" w:hAnsi="Simplified Arabic" w:cs="Simplified Arabic"/>
          <w:sz w:val="26"/>
          <w:szCs w:val="26"/>
          <w:rtl/>
        </w:rPr>
        <w:t>و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سجلت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استئجار</w:t>
      </w:r>
      <w:r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المعدات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0.89%،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مجموعة</w:t>
      </w:r>
      <w:r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تكاليف</w:t>
      </w:r>
      <w:r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وأجور</w:t>
      </w:r>
      <w:r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العمال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46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مجموعة</w:t>
      </w:r>
      <w:r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تكاليف</w:t>
      </w:r>
      <w:r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تشغيل</w:t>
      </w:r>
      <w:r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معدات</w:t>
      </w:r>
      <w:r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napToGrid w:val="0"/>
          <w:sz w:val="26"/>
          <w:szCs w:val="26"/>
          <w:rtl/>
          <w:lang w:val="x-none" w:eastAsia="x-none"/>
        </w:rPr>
        <w:t>وصيانة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طفيفاً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5200E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03%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العام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بالعام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C0AE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72EB777E" w14:textId="77777777" w:rsidR="004C0AEA" w:rsidRPr="00C03CCF" w:rsidRDefault="004C0AEA" w:rsidP="004C0AEA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</w:p>
    <w:p w14:paraId="4E5423DE" w14:textId="1B31952A" w:rsidR="004C0AEA" w:rsidRPr="00C03CCF" w:rsidRDefault="004C0AEA" w:rsidP="00C03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المؤشر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لأسعار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إنشاء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شبكات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</w:p>
    <w:p w14:paraId="0CF0E8AC" w14:textId="4C5F79C1" w:rsidR="004C0AEA" w:rsidRPr="00C03CCF" w:rsidRDefault="004C0AEA" w:rsidP="00376F84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سجل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تكاليف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إنشاء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شبكات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المياه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في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الضفة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الغربية*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ارتفاعاً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نسبته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1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.</w:t>
      </w:r>
      <w:r w:rsidR="00376F8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04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%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2024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مقارنة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مع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السابق،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حيث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بلغ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متوسط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إنشاء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شبكات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المياه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130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.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84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2024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(شهر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الأساس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كانون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ال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ثاني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2010=100).</w:t>
      </w:r>
    </w:p>
    <w:p w14:paraId="111ACCFA" w14:textId="77777777" w:rsidR="004C0AEA" w:rsidRPr="00C03CCF" w:rsidRDefault="004C0AEA" w:rsidP="004C0AEA">
      <w:pPr>
        <w:pStyle w:val="Title"/>
        <w:jc w:val="lowKashida"/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</w:pPr>
    </w:p>
    <w:p w14:paraId="4C365907" w14:textId="6CE18224" w:rsidR="004C0AEA" w:rsidRPr="00C03CCF" w:rsidRDefault="006C1704" w:rsidP="00EE575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03CCF">
        <w:rPr>
          <w:rFonts w:ascii="Simplified Arabic" w:hAnsi="Simplified Arabic" w:cs="Simplified Arabic"/>
          <w:sz w:val="26"/>
          <w:szCs w:val="26"/>
          <w:rtl/>
        </w:rPr>
        <w:t>و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على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مستوى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شبكات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المياه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الرقم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نسبته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1.</w:t>
      </w:r>
      <w:r w:rsidR="00376F84" w:rsidRPr="00C03CCF">
        <w:rPr>
          <w:rFonts w:ascii="Simplified Arabic" w:hAnsi="Simplified Arabic" w:cs="Simplified Arabic"/>
          <w:sz w:val="26"/>
          <w:szCs w:val="26"/>
          <w:rtl/>
        </w:rPr>
        <w:t>47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%،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إذ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الإسفلت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ومنتجاته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76F84" w:rsidRPr="00C03CCF">
        <w:rPr>
          <w:rFonts w:ascii="Simplified Arabic" w:hAnsi="Simplified Arabic" w:cs="Simplified Arabic"/>
          <w:sz w:val="26"/>
          <w:szCs w:val="26"/>
          <w:rtl/>
        </w:rPr>
        <w:t>6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.</w:t>
      </w:r>
      <w:r w:rsidR="00376F84" w:rsidRPr="00C03CCF">
        <w:rPr>
          <w:rFonts w:ascii="Simplified Arabic" w:hAnsi="Simplified Arabic" w:cs="Simplified Arabic"/>
          <w:sz w:val="26"/>
          <w:szCs w:val="26"/>
          <w:rtl/>
        </w:rPr>
        <w:t>19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%،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76F84" w:rsidRPr="00C03CCF">
        <w:rPr>
          <w:rFonts w:ascii="Simplified Arabic" w:hAnsi="Simplified Arabic" w:cs="Simplified Arabic"/>
          <w:sz w:val="26"/>
          <w:szCs w:val="26"/>
          <w:rtl/>
        </w:rPr>
        <w:t>و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مواد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الطمم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76F84" w:rsidRPr="00C03CC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2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.</w:t>
      </w:r>
      <w:r w:rsidR="00EE5759" w:rsidRPr="00C03CCF">
        <w:rPr>
          <w:rFonts w:ascii="Simplified Arabic" w:hAnsi="Simplified Arabic" w:cs="Simplified Arabic"/>
          <w:sz w:val="26"/>
          <w:szCs w:val="26"/>
          <w:rtl/>
        </w:rPr>
        <w:t>47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%. 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وعلى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مستوى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خزانات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المياه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Pr="00C03CCF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الرقم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  <w:lang w:val="en-US"/>
        </w:rPr>
        <w:t>انخفاضاً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76F84" w:rsidRPr="00C03CCF">
        <w:rPr>
          <w:rFonts w:ascii="Simplified Arabic" w:hAnsi="Simplified Arabic" w:cs="Simplified Arabic"/>
          <w:sz w:val="26"/>
          <w:szCs w:val="26"/>
          <w:rtl/>
        </w:rPr>
        <w:t>طفيفاً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نسبته </w:t>
      </w:r>
      <w:r w:rsidR="00376F84" w:rsidRPr="00C03CCF">
        <w:rPr>
          <w:rFonts w:ascii="Simplified Arabic" w:hAnsi="Simplified Arabic" w:cs="Simplified Arabic"/>
          <w:sz w:val="26"/>
          <w:szCs w:val="26"/>
          <w:rtl/>
        </w:rPr>
        <w:t>0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.</w:t>
      </w:r>
      <w:r w:rsidR="00376F84" w:rsidRPr="00C03CCF">
        <w:rPr>
          <w:rFonts w:ascii="Simplified Arabic" w:hAnsi="Simplified Arabic" w:cs="Simplified Arabic"/>
          <w:sz w:val="26"/>
          <w:szCs w:val="26"/>
          <w:rtl/>
        </w:rPr>
        <w:t>01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%،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إذ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الحديد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376F84" w:rsidRPr="00C03CCF">
        <w:rPr>
          <w:rFonts w:ascii="Simplified Arabic" w:hAnsi="Simplified Arabic" w:cs="Simplified Arabic"/>
          <w:sz w:val="26"/>
          <w:szCs w:val="26"/>
          <w:rtl/>
        </w:rPr>
        <w:t>0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.</w:t>
      </w:r>
      <w:r w:rsidR="00376F84" w:rsidRPr="00C03CCF">
        <w:rPr>
          <w:rFonts w:ascii="Simplified Arabic" w:hAnsi="Simplified Arabic" w:cs="Simplified Arabic"/>
          <w:sz w:val="26"/>
          <w:szCs w:val="26"/>
          <w:rtl/>
        </w:rPr>
        <w:t>47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%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خلال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العام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2024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بالعام</w:t>
      </w:r>
      <w:r w:rsidRPr="00C03C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0AEA" w:rsidRPr="00C03CCF">
        <w:rPr>
          <w:rFonts w:ascii="Simplified Arabic" w:hAnsi="Simplified Arabic" w:cs="Simplified Arabic"/>
          <w:sz w:val="26"/>
          <w:szCs w:val="26"/>
          <w:rtl/>
        </w:rPr>
        <w:t>السابق.</w:t>
      </w:r>
    </w:p>
    <w:p w14:paraId="5C0242F3" w14:textId="77777777" w:rsidR="004C0AEA" w:rsidRPr="00C03CCF" w:rsidRDefault="004C0AEA" w:rsidP="004C0AE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</w:p>
    <w:p w14:paraId="5DCF4336" w14:textId="224A8030" w:rsidR="004C0AEA" w:rsidRPr="00C03CCF" w:rsidRDefault="004C0AEA" w:rsidP="00C03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المؤشر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لأسعار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إنشاء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شبكات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الصرف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الصحي</w:t>
      </w:r>
    </w:p>
    <w:p w14:paraId="73524DC6" w14:textId="48D3E94F" w:rsidR="004C0AEA" w:rsidRPr="00C03CCF" w:rsidRDefault="004C0AEA" w:rsidP="00376F84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</w:pP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سجل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تكاليف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إنشاء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شبكات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الصرف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الصحي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في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الضفة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الغربية*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ارتفاعاً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نسبته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  <w:lang w:val="en-US"/>
        </w:rPr>
        <w:t>1.</w:t>
      </w:r>
      <w:r w:rsidR="00376F8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  <w:lang w:val="en-US"/>
        </w:rPr>
        <w:t>11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%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noProof w:val="0"/>
          <w:sz w:val="26"/>
          <w:szCs w:val="26"/>
          <w:u w:val="none"/>
          <w:rtl/>
        </w:rPr>
        <w:t>2024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مقارنة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مع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السابق،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حيث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بلغ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متوسط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الرقم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القياسي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لأسعار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إنشاء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شبكات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  <w:lang w:val="en-US"/>
        </w:rPr>
        <w:t>الصرف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  <w:lang w:val="en-US"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  <w:lang w:val="en-US"/>
        </w:rPr>
        <w:t>الصحي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117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.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44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خلال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العام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2024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(شهر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الأساس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كانون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ال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ثاني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2010=100)،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حيث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ارتفعت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الإسفلت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ومنتجاته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بنسبة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6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.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19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%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،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وأ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مواد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الطمم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بنسبة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2.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47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%،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وأسعار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مواسير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البلاستيك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والباطون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بنسبة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0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.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34%،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على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الرغم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من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انخفاض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أسعار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الحفريات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بمقدار</w:t>
      </w:r>
      <w:r w:rsidR="006C170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 xml:space="preserve"> 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0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.</w:t>
      </w:r>
      <w:r w:rsidR="00376F84"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69</w:t>
      </w:r>
      <w:r w:rsidRPr="00C03CCF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</w:rPr>
        <w:t>%.</w:t>
      </w:r>
    </w:p>
    <w:p w14:paraId="377E98FF" w14:textId="77777777" w:rsidR="004C0AEA" w:rsidRPr="00C03CCF" w:rsidRDefault="004C0AEA" w:rsidP="004C0AEA">
      <w:pPr>
        <w:pStyle w:val="Title"/>
        <w:jc w:val="lowKashida"/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</w:rPr>
      </w:pPr>
    </w:p>
    <w:p w14:paraId="0EC0300D" w14:textId="77777777" w:rsidR="004C0AEA" w:rsidRPr="00C03CCF" w:rsidRDefault="004C0AEA" w:rsidP="0052568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</w:pPr>
    </w:p>
    <w:p w14:paraId="7E002C26" w14:textId="77777777" w:rsidR="00F277A2" w:rsidRPr="00C03CCF" w:rsidRDefault="00F277A2" w:rsidP="0052568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</w:pPr>
    </w:p>
    <w:p w14:paraId="67AAAE4E" w14:textId="77777777" w:rsidR="00F277A2" w:rsidRPr="00C03CCF" w:rsidRDefault="00F277A2" w:rsidP="0052568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</w:pPr>
    </w:p>
    <w:p w14:paraId="35659597" w14:textId="77777777" w:rsidR="00C03CCF" w:rsidRDefault="00984798" w:rsidP="0052568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r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lastRenderedPageBreak/>
        <w:t>مؤشر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أسعار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البناء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</w:t>
      </w:r>
      <w:r w:rsidR="005C0259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طرق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وشبكات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المياه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والصرف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الصحي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في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الضفة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الغربية*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</w:p>
    <w:p w14:paraId="19EDD3F5" w14:textId="48A0813C" w:rsidR="00984798" w:rsidRPr="00C03CCF" w:rsidRDefault="00984798" w:rsidP="0052568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r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EE2181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شهر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كانون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أول</w:t>
      </w:r>
      <w:r w:rsidR="003D6569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، 12/</w:t>
      </w:r>
      <w:bookmarkStart w:id="2" w:name="_GoBack"/>
      <w:bookmarkEnd w:id="2"/>
      <w:r w:rsidR="006E5DC1" w:rsidRPr="00C03CCF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2024</w:t>
      </w:r>
    </w:p>
    <w:p w14:paraId="53E92DE0" w14:textId="77777777" w:rsidR="00984798" w:rsidRPr="00C03CCF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</w:pPr>
    </w:p>
    <w:p w14:paraId="3391DC58" w14:textId="4FA9EEA0" w:rsidR="00984798" w:rsidRPr="00C03CCF" w:rsidRDefault="00982C81" w:rsidP="00C03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C3D46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البناء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للمباني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السكنية</w:t>
      </w:r>
    </w:p>
    <w:p w14:paraId="7DBEDA02" w14:textId="0ECD2A9C" w:rsidR="000871FA" w:rsidRPr="00C03CCF" w:rsidRDefault="00984798" w:rsidP="00982C8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2C8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45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كانون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أول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2024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ثاني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؛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2C8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6713C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122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.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33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134DD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92F25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122</w:t>
      </w:r>
      <w:r w:rsidR="003F7DED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.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89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3F7DED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1DBE67DA" w14:textId="77777777" w:rsidR="00277DDB" w:rsidRPr="00C03CCF" w:rsidRDefault="00277DDB" w:rsidP="00277DD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</w:pPr>
    </w:p>
    <w:p w14:paraId="2CA2EA0B" w14:textId="05B02AA7" w:rsidR="00984798" w:rsidRPr="00C03CCF" w:rsidRDefault="006C1704" w:rsidP="00982C8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3F799E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سجلت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تكاليف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وأجور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العمال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0.76%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استئجار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المعدات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0.24%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و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الخامات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والمواد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</w:t>
      </w:r>
      <w:r w:rsidR="004834D7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أول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ية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2C8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22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%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كانون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أول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2024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مقارنة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00F9654B" w14:textId="77777777" w:rsidR="00984798" w:rsidRPr="00C03CCF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7AAF91AF" w14:textId="3998B496" w:rsidR="00984798" w:rsidRPr="00C03CCF" w:rsidRDefault="0083314B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  <w:t>انخفاض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  <w:t>في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  <w:t>مؤشر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البناء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للمباني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غير</w:t>
      </w:r>
      <w:r w:rsidR="006C1704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السكنية</w:t>
      </w:r>
    </w:p>
    <w:p w14:paraId="3C74E38E" w14:textId="1FC47713" w:rsidR="00984798" w:rsidRPr="00C03CCF" w:rsidRDefault="00984798" w:rsidP="006877B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0.45%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كانون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أول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2024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ثاني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؛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121.20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121.75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6B4AA310" w14:textId="77777777" w:rsidR="00984798" w:rsidRPr="00C03CCF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295E8CE8" w14:textId="6A14A136" w:rsidR="0083314B" w:rsidRPr="00C03CCF" w:rsidRDefault="006C1704" w:rsidP="0083314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سجلت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تكاليف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وأجور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العمال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0.76%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و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الخامات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والمواد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أول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ية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0.23%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استئجار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المعدات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0.20%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كانون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ال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أول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2024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مقارنة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3314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141810D3" w14:textId="77777777" w:rsidR="004515EE" w:rsidRPr="00C03CCF" w:rsidRDefault="004515EE" w:rsidP="00364B45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7A4A3C6D" w14:textId="336D7C58" w:rsidR="00984798" w:rsidRPr="00C03CCF" w:rsidRDefault="00364B45" w:rsidP="00C03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البناء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لمباني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العظم</w:t>
      </w:r>
    </w:p>
    <w:p w14:paraId="0CFD1045" w14:textId="6216B53F" w:rsidR="00984798" w:rsidRPr="00C03CCF" w:rsidRDefault="00984798" w:rsidP="00E375B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0.</w:t>
      </w:r>
      <w:r w:rsidR="00A42570" w:rsidRPr="00C03CCF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30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أول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ثاني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؛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</w:t>
      </w:r>
      <w:r w:rsidR="0025056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1867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375B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121.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61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121</w:t>
      </w:r>
      <w:r w:rsidR="00840FD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98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CE39E6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6365E57B" w14:textId="77777777" w:rsidR="00984798" w:rsidRPr="00C03CCF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</w:pPr>
    </w:p>
    <w:p w14:paraId="57218549" w14:textId="71C479FE" w:rsidR="006648AC" w:rsidRDefault="006C1704" w:rsidP="0004277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سجلت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تكاليف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وأجور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العمال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0.49</w:t>
      </w:r>
      <w:r w:rsidR="00384E40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%</w:t>
      </w:r>
      <w:r w:rsidR="00384E4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وأسعار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استئجار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المعدات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0.23%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E420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الخامات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والمواد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</w:t>
      </w:r>
      <w:r w:rsidR="004834D7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أول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ية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901D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</w:t>
      </w:r>
      <w:r w:rsidR="004006F5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19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%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كانون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أول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2024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مقارنة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1988EFD3" w14:textId="7F5EBB3F" w:rsidR="00C03CCF" w:rsidRDefault="00C03CCF" w:rsidP="0004277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7042579F" w14:textId="77777777" w:rsidR="00C03CCF" w:rsidRPr="00C03CCF" w:rsidRDefault="00C03CCF" w:rsidP="0004277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14:paraId="3C03270C" w14:textId="77777777" w:rsidR="00364B45" w:rsidRPr="00C03CCF" w:rsidRDefault="00364B45" w:rsidP="00364B4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14:paraId="5FFDD5EB" w14:textId="56B59698" w:rsidR="00984798" w:rsidRPr="00C03CCF" w:rsidRDefault="00BE4A8B" w:rsidP="00C03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انخفاض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D4FE0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إنشاء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الطرق</w:t>
      </w:r>
    </w:p>
    <w:p w14:paraId="28047B0E" w14:textId="6B2FF3C1" w:rsidR="00984798" w:rsidRPr="00C03CCF" w:rsidRDefault="00984798" w:rsidP="00E375B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بأنواعها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المختلفة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799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33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أول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تشرين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ثاني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2024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؛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799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العام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30AF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116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17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D4FE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116</w:t>
      </w:r>
      <w:r w:rsidR="00E51F93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55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34B4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E2CC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</w:t>
      </w:r>
      <w:r w:rsidR="004834D7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أول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F06E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2008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14:paraId="4EF18407" w14:textId="77777777" w:rsidR="00984798" w:rsidRPr="00C03CCF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2262E65F" w14:textId="35DDDF69" w:rsidR="00984798" w:rsidRPr="00C03CCF" w:rsidRDefault="006C1704" w:rsidP="004515EE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E375B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وأجور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العمال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4.58%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استئجار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المعدات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طفيفاً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نسبته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04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%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حين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تشغيل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معدات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وصيانة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0.67%،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وأسعار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الخامات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والمواد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الأولية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0.32%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أول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472C9E95" w14:textId="77777777" w:rsidR="00FE0621" w:rsidRPr="00C03CCF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15CC8C54" w14:textId="1BD07ED6" w:rsidR="00984798" w:rsidRPr="00C03CCF" w:rsidRDefault="007114AB" w:rsidP="00C03CCF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5408A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022D1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022D1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022D1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إنشاء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شبكات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</w:p>
    <w:p w14:paraId="63302FF4" w14:textId="416FC1C2" w:rsidR="00984798" w:rsidRPr="00C03CCF" w:rsidRDefault="00984798" w:rsidP="007114A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Start w:id="3" w:name="OLE_LINK5"/>
      <w:bookmarkStart w:id="4" w:name="OLE_LINK6"/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End w:id="3"/>
      <w:bookmarkEnd w:id="4"/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اً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52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%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أول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ثاني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؛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الى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132</w:t>
      </w:r>
      <w:r w:rsidR="00FE062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64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D382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131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95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D3E8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ثاني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4AACA1BF" w14:textId="77777777" w:rsidR="00857FCD" w:rsidRPr="00C03CCF" w:rsidRDefault="00857FCD" w:rsidP="00ED382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5BC5EAC3" w14:textId="5F20C306" w:rsidR="000230B0" w:rsidRPr="00C03CCF" w:rsidRDefault="009E3ED4" w:rsidP="002E76C7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ارتفاعاً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83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%،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137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43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A7AF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A7AF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136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30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السابق،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حين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خزانات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انخفاضاً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نسبته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0.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24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%،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122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09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E76C7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122</w:t>
      </w:r>
      <w:r w:rsidR="009777B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38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0230B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14:paraId="52CC1487" w14:textId="77777777" w:rsidR="00047DE2" w:rsidRPr="00C03CCF" w:rsidRDefault="00047DE2" w:rsidP="008325C4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7A3C6923" w14:textId="08536D55" w:rsidR="00984798" w:rsidRPr="00C03CCF" w:rsidRDefault="006C4B50" w:rsidP="00C03C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14AB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طفيف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70AEF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85FB5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المؤشر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لأسعار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4798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إنشاء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5C0259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شبكات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5C0259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الصرف</w:t>
      </w:r>
      <w:r w:rsidR="006C1704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5C0259" w:rsidRPr="00C03CCF">
        <w:rPr>
          <w:rFonts w:ascii="Simplified Arabic" w:hAnsi="Simplified Arabic" w:cs="Simplified Arabic"/>
          <w:b/>
          <w:bCs/>
          <w:sz w:val="28"/>
          <w:szCs w:val="28"/>
          <w:rtl/>
        </w:rPr>
        <w:t>الصحي</w:t>
      </w:r>
    </w:p>
    <w:p w14:paraId="7A9A6BB5" w14:textId="588CBD5B" w:rsidR="00984798" w:rsidRPr="00C03CCF" w:rsidRDefault="00984798" w:rsidP="007114A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الصرف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الصحي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رتفاع</w:t>
      </w:r>
      <w:r w:rsidR="00721BB6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اً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طفيفاً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70AEF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04</w:t>
      </w:r>
      <w:r w:rsidR="00F70AEF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%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1202C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كانون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أول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2024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تشرين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ثاني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؛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117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98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117</w:t>
      </w:r>
      <w:r w:rsidR="00BB322D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93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D3E8E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E3ED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</w:t>
      </w:r>
      <w:r w:rsidR="006C4B50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ثاني</w:t>
      </w:r>
      <w:r w:rsidR="006C1704"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C03CCF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1122F2AC" w14:textId="77777777" w:rsidR="00984798" w:rsidRP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14:paraId="04C463F7" w14:textId="77777777" w:rsidR="00984798" w:rsidRPr="00C03CCF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C03CCF"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  <w:t>تنويه:</w:t>
      </w:r>
    </w:p>
    <w:p w14:paraId="7D3BA609" w14:textId="6BFB0AF3" w:rsidR="00984798" w:rsidRPr="00C03CCF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بيانات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قطاع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غزة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حول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الرقم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القياسي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لتكاليف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البناء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والطرق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وتكاليف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شبكات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المياه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="009E3ED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وا</w:t>
      </w:r>
      <w:r w:rsidR="009E3ED4" w:rsidRPr="00C03CCF">
        <w:rPr>
          <w:rFonts w:ascii="Simplified Arabic" w:hAnsi="Simplified Arabic" w:cs="Simplified Arabic" w:hint="cs"/>
          <w:sz w:val="22"/>
          <w:szCs w:val="22"/>
          <w:rtl/>
          <w:lang w:val="x-none"/>
        </w:rPr>
        <w:t>لصرف الصحي</w:t>
      </w:r>
      <w:r w:rsidR="009E3ED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غير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متوفرة.</w:t>
      </w:r>
    </w:p>
    <w:p w14:paraId="745DA705" w14:textId="6520A9E1" w:rsidR="00984798" w:rsidRPr="00C03CCF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يعود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الاختلاف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في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نسب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التغير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لتكاليف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المجموعات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الرئيسية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في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كل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من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الرقم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القياسي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لإنشاء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المباني</w:t>
      </w:r>
      <w:r w:rsidR="009E3ED4" w:rsidRPr="00C03CCF">
        <w:rPr>
          <w:rFonts w:ascii="Simplified Arabic" w:hAnsi="Simplified Arabic" w:cs="Simplified Arabic" w:hint="cs"/>
          <w:sz w:val="22"/>
          <w:szCs w:val="22"/>
          <w:rtl/>
          <w:lang w:val="x-none"/>
        </w:rPr>
        <w:t>،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أو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الطرق</w:t>
      </w:r>
      <w:r w:rsidR="009E3ED4" w:rsidRPr="00C03CCF">
        <w:rPr>
          <w:rFonts w:ascii="Simplified Arabic" w:hAnsi="Simplified Arabic" w:cs="Simplified Arabic" w:hint="cs"/>
          <w:sz w:val="22"/>
          <w:szCs w:val="22"/>
          <w:rtl/>
          <w:lang w:val="x-none"/>
        </w:rPr>
        <w:t>،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أو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شبكات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المياه</w:t>
      </w:r>
      <w:r w:rsidR="009E3ED4" w:rsidRPr="00C03CCF">
        <w:rPr>
          <w:rFonts w:ascii="Simplified Arabic" w:hAnsi="Simplified Arabic" w:cs="Simplified Arabic" w:hint="cs"/>
          <w:sz w:val="22"/>
          <w:szCs w:val="22"/>
          <w:rtl/>
          <w:lang w:val="x-none"/>
        </w:rPr>
        <w:t>،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أو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شبكات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="009E3ED4" w:rsidRPr="00C03CCF">
        <w:rPr>
          <w:rFonts w:ascii="Simplified Arabic" w:hAnsi="Simplified Arabic" w:cs="Simplified Arabic" w:hint="cs"/>
          <w:sz w:val="22"/>
          <w:szCs w:val="22"/>
          <w:rtl/>
          <w:lang w:val="x-none"/>
        </w:rPr>
        <w:t>الصرف الصحي</w:t>
      </w:r>
      <w:r w:rsidR="009E3ED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إلى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الاختلاف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في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تكوين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تلك</w:t>
      </w:r>
      <w:r w:rsidR="006C1704"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 </w:t>
      </w:r>
      <w:r w:rsidRPr="00C03CCF">
        <w:rPr>
          <w:rFonts w:ascii="Simplified Arabic" w:hAnsi="Simplified Arabic" w:cs="Simplified Arabic"/>
          <w:sz w:val="22"/>
          <w:szCs w:val="22"/>
          <w:rtl/>
          <w:lang w:val="x-none"/>
        </w:rPr>
        <w:t>المجموعات.</w:t>
      </w:r>
      <w:bookmarkEnd w:id="0"/>
      <w:bookmarkEnd w:id="1"/>
    </w:p>
    <w:p w14:paraId="47DD5F7B" w14:textId="77777777" w:rsidR="00984798" w:rsidRPr="00C03CCF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22"/>
          <w:szCs w:val="22"/>
          <w:rtl/>
          <w:lang w:val="x-none" w:eastAsia="x-none"/>
        </w:rPr>
      </w:pPr>
    </w:p>
    <w:p w14:paraId="12A4C47C" w14:textId="6BB76E90" w:rsidR="00984798" w:rsidRPr="00C03CCF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x-none" w:eastAsia="x-none"/>
        </w:rPr>
      </w:pPr>
      <w:r w:rsidRPr="00C03CCF">
        <w:rPr>
          <w:rFonts w:cs="Simplified Arabic"/>
          <w:b/>
          <w:bCs/>
          <w:snapToGrid w:val="0"/>
          <w:rtl/>
          <w:lang w:val="x-none" w:eastAsia="x-none"/>
        </w:rPr>
        <w:t>ملاحظة:</w:t>
      </w:r>
    </w:p>
    <w:p w14:paraId="56127182" w14:textId="59713FAE" w:rsidR="00984798" w:rsidRPr="00C03CCF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لا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تشمل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ذلك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الجزء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من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محافظة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القدس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الذي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ضم</w:t>
      </w:r>
      <w:r w:rsidR="009E3ED4" w:rsidRPr="00C03CCF">
        <w:rPr>
          <w:rFonts w:cs="Simplified Arabic" w:hint="cs"/>
          <w:snapToGrid w:val="0"/>
          <w:sz w:val="22"/>
          <w:szCs w:val="22"/>
          <w:rtl/>
          <w:lang w:val="x-none" w:eastAsia="x-none"/>
        </w:rPr>
        <w:t>ت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ه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إسرائيل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إليه</w:t>
      </w:r>
      <w:r w:rsidR="009E3ED4" w:rsidRPr="00C03CCF">
        <w:rPr>
          <w:rFonts w:cs="Simplified Arabic" w:hint="cs"/>
          <w:snapToGrid w:val="0"/>
          <w:sz w:val="22"/>
          <w:szCs w:val="22"/>
          <w:rtl/>
          <w:lang w:val="x-none" w:eastAsia="x-none"/>
        </w:rPr>
        <w:t>ا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عنوة</w:t>
      </w:r>
      <w:r w:rsidR="009E3ED4" w:rsidRPr="00C03CCF">
        <w:rPr>
          <w:rFonts w:cs="Simplified Arabic" w:hint="cs"/>
          <w:snapToGrid w:val="0"/>
          <w:sz w:val="22"/>
          <w:szCs w:val="22"/>
          <w:rtl/>
          <w:lang w:val="x-none" w:eastAsia="x-none"/>
        </w:rPr>
        <w:t>ً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ب</w:t>
      </w:r>
      <w:r w:rsidR="009E3ED4" w:rsidRPr="00C03CCF">
        <w:rPr>
          <w:rFonts w:cs="Simplified Arabic" w:hint="cs"/>
          <w:snapToGrid w:val="0"/>
          <w:sz w:val="22"/>
          <w:szCs w:val="22"/>
          <w:rtl/>
          <w:lang w:val="x-none" w:eastAsia="x-none"/>
        </w:rPr>
        <w:t>ُ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عيد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احتلاله</w:t>
      </w:r>
      <w:r w:rsidR="009E3ED4" w:rsidRPr="00C03CCF">
        <w:rPr>
          <w:rFonts w:cs="Simplified Arabic" w:hint="cs"/>
          <w:snapToGrid w:val="0"/>
          <w:sz w:val="22"/>
          <w:szCs w:val="22"/>
          <w:rtl/>
          <w:lang w:val="x-none" w:eastAsia="x-none"/>
        </w:rPr>
        <w:t>ا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="009E3ED4" w:rsidRPr="00C03CCF">
        <w:rPr>
          <w:rFonts w:cs="Simplified Arabic" w:hint="cs"/>
          <w:snapToGrid w:val="0"/>
          <w:sz w:val="22"/>
          <w:szCs w:val="22"/>
          <w:rtl/>
          <w:lang w:val="x-none" w:eastAsia="x-none"/>
        </w:rPr>
        <w:t>ا</w:t>
      </w:r>
      <w:r w:rsidR="009E3ED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لضفة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الغربية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="009E3ED4" w:rsidRPr="00C03CCF">
        <w:rPr>
          <w:rFonts w:cs="Simplified Arabic" w:hint="cs"/>
          <w:snapToGrid w:val="0"/>
          <w:sz w:val="22"/>
          <w:szCs w:val="22"/>
          <w:rtl/>
          <w:lang w:val="x-none" w:eastAsia="x-none"/>
        </w:rPr>
        <w:t>ال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عام</w:t>
      </w:r>
      <w:r w:rsidR="006C1704"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 xml:space="preserve"> </w:t>
      </w:r>
      <w:r w:rsidRPr="00C03CCF">
        <w:rPr>
          <w:rFonts w:cs="Simplified Arabic"/>
          <w:snapToGrid w:val="0"/>
          <w:sz w:val="22"/>
          <w:szCs w:val="22"/>
          <w:rtl/>
          <w:lang w:val="x-none" w:eastAsia="x-none"/>
        </w:rPr>
        <w:t>1967.</w:t>
      </w:r>
    </w:p>
    <w:p w14:paraId="1C99655D" w14:textId="77777777" w:rsidR="00984798" w:rsidRPr="00C03CCF" w:rsidRDefault="00984798" w:rsidP="00984798">
      <w:pPr>
        <w:jc w:val="both"/>
        <w:rPr>
          <w:rFonts w:cs="Simplified Arabic"/>
          <w:b/>
          <w:bCs/>
          <w:sz w:val="22"/>
          <w:szCs w:val="22"/>
          <w:rtl/>
        </w:rPr>
      </w:pPr>
    </w:p>
    <w:sectPr w:rsidR="00984798" w:rsidRPr="00C03CCF" w:rsidSect="0012259D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3700C" w14:textId="77777777" w:rsidR="004D11C0" w:rsidRDefault="004D11C0">
      <w:r>
        <w:separator/>
      </w:r>
    </w:p>
  </w:endnote>
  <w:endnote w:type="continuationSeparator" w:id="0">
    <w:p w14:paraId="5A724FAC" w14:textId="77777777" w:rsidR="004D11C0" w:rsidRDefault="004D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2F46" w14:textId="77777777" w:rsidR="00847181" w:rsidRDefault="008471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BF6087" w14:textId="77777777" w:rsidR="00847181" w:rsidRDefault="0084718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2843" w14:textId="78B9EF86" w:rsidR="00847181" w:rsidRDefault="00847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569">
      <w:rPr>
        <w:noProof/>
        <w:rtl/>
      </w:rPr>
      <w:t>4</w:t>
    </w:r>
    <w:r>
      <w:fldChar w:fldCharType="end"/>
    </w:r>
  </w:p>
  <w:p w14:paraId="7F0E7C96" w14:textId="77777777" w:rsidR="00847181" w:rsidRDefault="008471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CF7ED" w14:textId="77777777" w:rsidR="004D11C0" w:rsidRDefault="004D11C0">
      <w:r>
        <w:separator/>
      </w:r>
    </w:p>
  </w:footnote>
  <w:footnote w:type="continuationSeparator" w:id="0">
    <w:p w14:paraId="1990ED8D" w14:textId="77777777" w:rsidR="004D11C0" w:rsidRDefault="004D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5E46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775"/>
    <w:rsid w:val="000429BC"/>
    <w:rsid w:val="00042DF0"/>
    <w:rsid w:val="000437FC"/>
    <w:rsid w:val="00045B68"/>
    <w:rsid w:val="00046201"/>
    <w:rsid w:val="0004667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1FD"/>
    <w:rsid w:val="000922F6"/>
    <w:rsid w:val="000922FC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B17"/>
    <w:rsid w:val="000B6C24"/>
    <w:rsid w:val="000B77F8"/>
    <w:rsid w:val="000B7AFC"/>
    <w:rsid w:val="000B7BBB"/>
    <w:rsid w:val="000B7ECE"/>
    <w:rsid w:val="000C03E2"/>
    <w:rsid w:val="000C19B8"/>
    <w:rsid w:val="000C2494"/>
    <w:rsid w:val="000C26B0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259D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3427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97533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08FF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362B8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77DDB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0F07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6C7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88D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B45"/>
    <w:rsid w:val="00364FE3"/>
    <w:rsid w:val="00365ADC"/>
    <w:rsid w:val="00365B93"/>
    <w:rsid w:val="00365F59"/>
    <w:rsid w:val="00366B1E"/>
    <w:rsid w:val="0036765B"/>
    <w:rsid w:val="00370B58"/>
    <w:rsid w:val="0037227B"/>
    <w:rsid w:val="00373ECF"/>
    <w:rsid w:val="00374F26"/>
    <w:rsid w:val="00376F84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4E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5B"/>
    <w:rsid w:val="003C3494"/>
    <w:rsid w:val="003C376D"/>
    <w:rsid w:val="003C3A29"/>
    <w:rsid w:val="003C3BEC"/>
    <w:rsid w:val="003C3D46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6569"/>
    <w:rsid w:val="003D711D"/>
    <w:rsid w:val="003D7795"/>
    <w:rsid w:val="003E0488"/>
    <w:rsid w:val="003E0FD6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99E"/>
    <w:rsid w:val="003F7DED"/>
    <w:rsid w:val="004006F5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15EE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1032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34D7"/>
    <w:rsid w:val="004844C3"/>
    <w:rsid w:val="00484798"/>
    <w:rsid w:val="004851F8"/>
    <w:rsid w:val="0048550F"/>
    <w:rsid w:val="00485809"/>
    <w:rsid w:val="00486A7A"/>
    <w:rsid w:val="00487664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4C4E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AEA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1C0"/>
    <w:rsid w:val="004D1952"/>
    <w:rsid w:val="004D1975"/>
    <w:rsid w:val="004D1DD9"/>
    <w:rsid w:val="004D207D"/>
    <w:rsid w:val="004D3EC8"/>
    <w:rsid w:val="004D43F9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00EE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2FCA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5C64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415A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5AA1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7B2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DB7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704"/>
    <w:rsid w:val="006C1895"/>
    <w:rsid w:val="006C1E5F"/>
    <w:rsid w:val="006C252B"/>
    <w:rsid w:val="006C2792"/>
    <w:rsid w:val="006C39F6"/>
    <w:rsid w:val="006C4B50"/>
    <w:rsid w:val="006C5043"/>
    <w:rsid w:val="006C5469"/>
    <w:rsid w:val="006C6AFC"/>
    <w:rsid w:val="006D05F9"/>
    <w:rsid w:val="006D0D2A"/>
    <w:rsid w:val="006D0EC6"/>
    <w:rsid w:val="006D1281"/>
    <w:rsid w:val="006D1599"/>
    <w:rsid w:val="006D1667"/>
    <w:rsid w:val="006D1AED"/>
    <w:rsid w:val="006D2513"/>
    <w:rsid w:val="006D2638"/>
    <w:rsid w:val="006D3C86"/>
    <w:rsid w:val="006D6DAF"/>
    <w:rsid w:val="006D6EAE"/>
    <w:rsid w:val="006D7B5E"/>
    <w:rsid w:val="006E28A6"/>
    <w:rsid w:val="006E407D"/>
    <w:rsid w:val="006E41AF"/>
    <w:rsid w:val="006E4D84"/>
    <w:rsid w:val="006E5BA1"/>
    <w:rsid w:val="006E5DC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14AB"/>
    <w:rsid w:val="007130AF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BB6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37EBB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B0C"/>
    <w:rsid w:val="007901D5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20A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314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181"/>
    <w:rsid w:val="00847D4E"/>
    <w:rsid w:val="00850587"/>
    <w:rsid w:val="00850756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3E0D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3491"/>
    <w:rsid w:val="00944247"/>
    <w:rsid w:val="00944EF5"/>
    <w:rsid w:val="00945971"/>
    <w:rsid w:val="00945F65"/>
    <w:rsid w:val="00946C44"/>
    <w:rsid w:val="00946F93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7BE"/>
    <w:rsid w:val="0097799E"/>
    <w:rsid w:val="009806B9"/>
    <w:rsid w:val="00980BA4"/>
    <w:rsid w:val="00980C4F"/>
    <w:rsid w:val="00980F95"/>
    <w:rsid w:val="0098260C"/>
    <w:rsid w:val="00982C81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5D4"/>
    <w:rsid w:val="009C5E07"/>
    <w:rsid w:val="009C6175"/>
    <w:rsid w:val="009C6A60"/>
    <w:rsid w:val="009C758F"/>
    <w:rsid w:val="009C7F39"/>
    <w:rsid w:val="009D0F0E"/>
    <w:rsid w:val="009D1753"/>
    <w:rsid w:val="009D3210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3ED4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2570"/>
    <w:rsid w:val="00A43044"/>
    <w:rsid w:val="00A4530C"/>
    <w:rsid w:val="00A45579"/>
    <w:rsid w:val="00A45D7C"/>
    <w:rsid w:val="00A472BA"/>
    <w:rsid w:val="00A474F9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4F0D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1D0C"/>
    <w:rsid w:val="00A92BB0"/>
    <w:rsid w:val="00A92D0A"/>
    <w:rsid w:val="00A92E8E"/>
    <w:rsid w:val="00A92F25"/>
    <w:rsid w:val="00A93841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158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926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3D06"/>
    <w:rsid w:val="00B94072"/>
    <w:rsid w:val="00B9443F"/>
    <w:rsid w:val="00B9454F"/>
    <w:rsid w:val="00B94BC5"/>
    <w:rsid w:val="00B94F86"/>
    <w:rsid w:val="00B95E8C"/>
    <w:rsid w:val="00B96300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0D8C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4FA4"/>
    <w:rsid w:val="00BD580D"/>
    <w:rsid w:val="00BD5829"/>
    <w:rsid w:val="00BD78EE"/>
    <w:rsid w:val="00BE048F"/>
    <w:rsid w:val="00BE0A66"/>
    <w:rsid w:val="00BE154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3CCF"/>
    <w:rsid w:val="00C04A27"/>
    <w:rsid w:val="00C0636C"/>
    <w:rsid w:val="00C074AC"/>
    <w:rsid w:val="00C07C69"/>
    <w:rsid w:val="00C10AF0"/>
    <w:rsid w:val="00C10F8A"/>
    <w:rsid w:val="00C11E49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23F2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15F"/>
    <w:rsid w:val="00C63895"/>
    <w:rsid w:val="00C650D4"/>
    <w:rsid w:val="00C650F7"/>
    <w:rsid w:val="00C65A58"/>
    <w:rsid w:val="00C67E63"/>
    <w:rsid w:val="00C7021C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310A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6DB"/>
    <w:rsid w:val="00CB720F"/>
    <w:rsid w:val="00CB7ACA"/>
    <w:rsid w:val="00CC0778"/>
    <w:rsid w:val="00CC16DA"/>
    <w:rsid w:val="00CC2E52"/>
    <w:rsid w:val="00CC3100"/>
    <w:rsid w:val="00CC3996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4FE0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3B59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A08"/>
    <w:rsid w:val="00D03F64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DA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87D56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38A7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375B4"/>
    <w:rsid w:val="00E41036"/>
    <w:rsid w:val="00E4112E"/>
    <w:rsid w:val="00E41A24"/>
    <w:rsid w:val="00E41C82"/>
    <w:rsid w:val="00E423E9"/>
    <w:rsid w:val="00E42815"/>
    <w:rsid w:val="00E42F6B"/>
    <w:rsid w:val="00E441CD"/>
    <w:rsid w:val="00E44DBA"/>
    <w:rsid w:val="00E4539D"/>
    <w:rsid w:val="00E458A4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67D"/>
    <w:rsid w:val="00E670FA"/>
    <w:rsid w:val="00E67F04"/>
    <w:rsid w:val="00E7001D"/>
    <w:rsid w:val="00E70074"/>
    <w:rsid w:val="00E7030B"/>
    <w:rsid w:val="00E70476"/>
    <w:rsid w:val="00E713E5"/>
    <w:rsid w:val="00E7303A"/>
    <w:rsid w:val="00E75878"/>
    <w:rsid w:val="00E76AA1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6AD9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A7AF0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5759"/>
    <w:rsid w:val="00EE6546"/>
    <w:rsid w:val="00EE6BAA"/>
    <w:rsid w:val="00EE76E0"/>
    <w:rsid w:val="00EF075C"/>
    <w:rsid w:val="00EF12F8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5ED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277A2"/>
    <w:rsid w:val="00F279C5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AEF"/>
    <w:rsid w:val="00F71357"/>
    <w:rsid w:val="00F7194D"/>
    <w:rsid w:val="00F7258B"/>
    <w:rsid w:val="00F73A31"/>
    <w:rsid w:val="00F7541A"/>
    <w:rsid w:val="00F756DF"/>
    <w:rsid w:val="00F76AB2"/>
    <w:rsid w:val="00F77863"/>
    <w:rsid w:val="00F80D92"/>
    <w:rsid w:val="00F81130"/>
    <w:rsid w:val="00F81185"/>
    <w:rsid w:val="00F81A9B"/>
    <w:rsid w:val="00F82B34"/>
    <w:rsid w:val="00F84118"/>
    <w:rsid w:val="00F84722"/>
    <w:rsid w:val="00F85088"/>
    <w:rsid w:val="00F854DA"/>
    <w:rsid w:val="00F86E4C"/>
    <w:rsid w:val="00F8721D"/>
    <w:rsid w:val="00F877C1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97721"/>
    <w:rsid w:val="00FA2559"/>
    <w:rsid w:val="00FA3D7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5D64"/>
    <w:rsid w:val="00FB73A3"/>
    <w:rsid w:val="00FC179B"/>
    <w:rsid w:val="00FC1A26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3704E"/>
  <w15:chartTrackingRefBased/>
  <w15:docId w15:val="{FC9006DE-E749-43C8-8093-8FF3172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B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F681-6ACC-4BBE-8CB0-2E582B36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7936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pcbs</cp:lastModifiedBy>
  <cp:revision>4</cp:revision>
  <cp:lastPrinted>2025-01-21T07:58:00Z</cp:lastPrinted>
  <dcterms:created xsi:type="dcterms:W3CDTF">2025-01-22T10:52:00Z</dcterms:created>
  <dcterms:modified xsi:type="dcterms:W3CDTF">2025-01-22T11:12:00Z</dcterms:modified>
</cp:coreProperties>
</file>