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9A" w:rsidRDefault="00731C9A" w:rsidP="00731C9A">
      <w:pPr>
        <w:pStyle w:val="BodyText2"/>
        <w:rPr>
          <w:rFonts w:ascii="Simplified Arabic" w:hAnsi="Simplified Arabic"/>
          <w:sz w:val="32"/>
          <w:szCs w:val="32"/>
          <w:rtl/>
        </w:rPr>
      </w:pPr>
      <w:bookmarkStart w:id="0" w:name="_GoBack"/>
      <w:bookmarkEnd w:id="0"/>
    </w:p>
    <w:p w:rsidR="00731C9A" w:rsidRPr="00731C9A" w:rsidRDefault="00731C9A" w:rsidP="00731C9A">
      <w:pPr>
        <w:pStyle w:val="BodyText2"/>
        <w:rPr>
          <w:rFonts w:ascii="Simplified Arabic" w:hAnsi="Simplified Arabic"/>
          <w:sz w:val="32"/>
          <w:szCs w:val="32"/>
        </w:rPr>
      </w:pPr>
      <w:r w:rsidRPr="00731C9A">
        <w:rPr>
          <w:rFonts w:ascii="Simplified Arabic" w:hAnsi="Simplified Arabic"/>
          <w:sz w:val="32"/>
          <w:szCs w:val="32"/>
          <w:rtl/>
        </w:rPr>
        <w:t>د. علا عوض، رئيسة الإحصاء الفلسطيني</w:t>
      </w:r>
    </w:p>
    <w:p w:rsidR="00731C9A" w:rsidRPr="00731C9A" w:rsidRDefault="00731C9A" w:rsidP="00731C9A">
      <w:pPr>
        <w:pStyle w:val="BodyText2"/>
        <w:ind w:right="0"/>
        <w:jc w:val="center"/>
        <w:rPr>
          <w:rFonts w:ascii="Simplified Arabic" w:hAnsi="Simplified Arabic"/>
          <w:sz w:val="12"/>
          <w:szCs w:val="12"/>
          <w:rtl/>
        </w:rPr>
      </w:pPr>
    </w:p>
    <w:p w:rsidR="00731C9A" w:rsidRDefault="00731C9A" w:rsidP="00731C9A">
      <w:pPr>
        <w:pStyle w:val="BodyText2"/>
        <w:ind w:right="0"/>
        <w:jc w:val="center"/>
        <w:rPr>
          <w:rFonts w:ascii="Simplified Arabic" w:hAnsi="Simplified Arabic"/>
          <w:sz w:val="32"/>
          <w:szCs w:val="32"/>
        </w:rPr>
      </w:pPr>
      <w:r w:rsidRPr="00731C9A">
        <w:rPr>
          <w:rFonts w:ascii="Simplified Arabic" w:hAnsi="Simplified Arabic"/>
          <w:sz w:val="32"/>
          <w:szCs w:val="32"/>
          <w:rtl/>
        </w:rPr>
        <w:t xml:space="preserve">تستعرض الواقع العمالي في فلسطين لعام </w:t>
      </w:r>
      <w:r>
        <w:rPr>
          <w:rFonts w:ascii="Simplified Arabic" w:hAnsi="Simplified Arabic" w:hint="cs"/>
          <w:sz w:val="32"/>
          <w:szCs w:val="32"/>
          <w:rtl/>
        </w:rPr>
        <w:t>2024</w:t>
      </w:r>
      <w:r w:rsidRPr="00731C9A">
        <w:rPr>
          <w:rFonts w:ascii="Simplified Arabic" w:hAnsi="Simplified Arabic"/>
          <w:sz w:val="32"/>
          <w:szCs w:val="32"/>
          <w:rtl/>
        </w:rPr>
        <w:t xml:space="preserve"> بمناسبة اليوم العالمي للعمال (الأول من أيار)</w:t>
      </w:r>
    </w:p>
    <w:p w:rsidR="008F526B" w:rsidRPr="00731C9A" w:rsidRDefault="008F526B" w:rsidP="00731C9A">
      <w:pPr>
        <w:pStyle w:val="BodyText2"/>
        <w:ind w:right="0"/>
        <w:jc w:val="center"/>
        <w:rPr>
          <w:rFonts w:ascii="Simplified Arabic" w:hAnsi="Simplified Arabic"/>
          <w:sz w:val="32"/>
          <w:szCs w:val="32"/>
          <w:rtl/>
        </w:rPr>
      </w:pPr>
    </w:p>
    <w:p w:rsidR="008F526B" w:rsidRPr="00731C9A" w:rsidRDefault="008F526B" w:rsidP="008F526B">
      <w:pPr>
        <w:pStyle w:val="BodyText2"/>
        <w:ind w:right="0"/>
        <w:jc w:val="center"/>
        <w:rPr>
          <w:rFonts w:ascii="Simplified Arabic" w:hAnsi="Simplified Arabic"/>
          <w:sz w:val="32"/>
          <w:szCs w:val="32"/>
          <w:rtl/>
        </w:rPr>
      </w:pPr>
      <w:r w:rsidRPr="00731C9A">
        <w:rPr>
          <w:rFonts w:ascii="Simplified Arabic" w:hAnsi="Simplified Arabic" w:hint="cs"/>
          <w:sz w:val="32"/>
          <w:szCs w:val="32"/>
          <w:rtl/>
        </w:rPr>
        <w:t>بطالة قياسية وانكماش حاد في العمالة في العام 2024</w:t>
      </w:r>
    </w:p>
    <w:p w:rsidR="009A1105" w:rsidRDefault="009A1105" w:rsidP="00551329">
      <w:pPr>
        <w:pStyle w:val="BodyText2"/>
        <w:rPr>
          <w:rFonts w:ascii="Simplified Arabic" w:hAnsi="Simplified Arabic"/>
          <w:sz w:val="26"/>
          <w:szCs w:val="26"/>
          <w:rtl/>
        </w:rPr>
      </w:pPr>
    </w:p>
    <w:p w:rsidR="005C6DA2" w:rsidRPr="00551329" w:rsidRDefault="005C6DA2" w:rsidP="0088712B">
      <w:pPr>
        <w:pStyle w:val="BodyText2"/>
        <w:ind w:right="0"/>
        <w:rPr>
          <w:rFonts w:ascii="Simplified Arabic" w:hAnsi="Simplified Arabic"/>
          <w:sz w:val="4"/>
          <w:szCs w:val="4"/>
          <w:rtl/>
        </w:rPr>
      </w:pPr>
    </w:p>
    <w:p w:rsidR="00D53394" w:rsidRPr="00731C9A" w:rsidRDefault="00BF4A21" w:rsidP="00731C9A">
      <w:pPr>
        <w:jc w:val="both"/>
        <w:rPr>
          <w:rFonts w:ascii="Simplified Arabic" w:hAnsi="Simplified Arabic" w:cs="Simplified Arabic"/>
          <w:b/>
          <w:bCs/>
          <w:sz w:val="28"/>
          <w:szCs w:val="28"/>
          <w:rtl/>
        </w:rPr>
      </w:pPr>
      <w:r w:rsidRPr="00731C9A">
        <w:rPr>
          <w:rFonts w:ascii="Simplified Arabic" w:hAnsi="Simplified Arabic" w:cs="Simplified Arabic" w:hint="cs"/>
          <w:b/>
          <w:bCs/>
          <w:sz w:val="28"/>
          <w:szCs w:val="28"/>
          <w:rtl/>
        </w:rPr>
        <w:t>بمناسبة</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اليوم</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العالمي</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للعمال،</w:t>
      </w:r>
      <w:r w:rsidR="00D92DE1" w:rsidRPr="00731C9A">
        <w:rPr>
          <w:rFonts w:ascii="Simplified Arabic" w:hAnsi="Simplified Arabic" w:cs="Simplified Arabic" w:hint="cs"/>
          <w:b/>
          <w:bCs/>
          <w:sz w:val="28"/>
          <w:szCs w:val="28"/>
          <w:rtl/>
        </w:rPr>
        <w:t xml:space="preserve"> </w:t>
      </w:r>
      <w:r w:rsidR="001F65DA" w:rsidRPr="00731C9A">
        <w:rPr>
          <w:rFonts w:ascii="Simplified Arabic" w:hAnsi="Simplified Arabic" w:cs="Simplified Arabic" w:hint="cs"/>
          <w:b/>
          <w:bCs/>
          <w:sz w:val="28"/>
          <w:szCs w:val="28"/>
          <w:rtl/>
        </w:rPr>
        <w:t>و</w:t>
      </w:r>
      <w:r w:rsidR="00D53394" w:rsidRPr="00731C9A">
        <w:rPr>
          <w:rFonts w:ascii="Simplified Arabic" w:hAnsi="Simplified Arabic" w:cs="Simplified Arabic" w:hint="cs"/>
          <w:b/>
          <w:bCs/>
          <w:sz w:val="28"/>
          <w:szCs w:val="28"/>
          <w:rtl/>
        </w:rPr>
        <w:t>في</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ظل</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عدوان</w:t>
      </w:r>
      <w:r w:rsidR="00D92DE1" w:rsidRPr="00731C9A">
        <w:rPr>
          <w:rFonts w:ascii="Simplified Arabic" w:hAnsi="Simplified Arabic" w:cs="Simplified Arabic" w:hint="cs"/>
          <w:b/>
          <w:bCs/>
          <w:sz w:val="28"/>
          <w:szCs w:val="28"/>
          <w:rtl/>
        </w:rPr>
        <w:t xml:space="preserve"> </w:t>
      </w:r>
      <w:r w:rsidR="007D1971" w:rsidRPr="00731C9A">
        <w:rPr>
          <w:rFonts w:ascii="Simplified Arabic" w:hAnsi="Simplified Arabic" w:cs="Simplified Arabic" w:hint="cs"/>
          <w:b/>
          <w:bCs/>
          <w:sz w:val="28"/>
          <w:szCs w:val="28"/>
          <w:rtl/>
        </w:rPr>
        <w:t xml:space="preserve">الاحتلال </w:t>
      </w:r>
      <w:r w:rsidR="001F65DA" w:rsidRPr="00731C9A">
        <w:rPr>
          <w:rFonts w:ascii="Simplified Arabic" w:hAnsi="Simplified Arabic" w:cs="Simplified Arabic" w:hint="cs"/>
          <w:b/>
          <w:bCs/>
          <w:sz w:val="28"/>
          <w:szCs w:val="28"/>
          <w:rtl/>
        </w:rPr>
        <w:t>الإسرائيلي المتواصل</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على</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قطاع</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غزة</w:t>
      </w:r>
      <w:r w:rsidR="00D92DE1" w:rsidRPr="00731C9A">
        <w:rPr>
          <w:rFonts w:ascii="Simplified Arabic" w:hAnsi="Simplified Arabic" w:cs="Simplified Arabic" w:hint="cs"/>
          <w:b/>
          <w:bCs/>
          <w:sz w:val="28"/>
          <w:szCs w:val="28"/>
          <w:rtl/>
        </w:rPr>
        <w:t xml:space="preserve"> </w:t>
      </w:r>
      <w:r w:rsid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منذ</w:t>
      </w:r>
      <w:r w:rsid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السابع</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من</w:t>
      </w:r>
      <w:r w:rsidR="00D92DE1" w:rsidRPr="00731C9A">
        <w:rPr>
          <w:rFonts w:ascii="Simplified Arabic" w:hAnsi="Simplified Arabic" w:cs="Simplified Arabic" w:hint="cs"/>
          <w:b/>
          <w:bCs/>
          <w:sz w:val="28"/>
          <w:szCs w:val="28"/>
          <w:rtl/>
        </w:rPr>
        <w:t xml:space="preserve"> </w:t>
      </w:r>
      <w:r w:rsidR="001F65DA" w:rsidRPr="00731C9A">
        <w:rPr>
          <w:rFonts w:ascii="Simplified Arabic" w:hAnsi="Simplified Arabic" w:cs="Simplified Arabic" w:hint="cs"/>
          <w:b/>
          <w:bCs/>
          <w:sz w:val="28"/>
          <w:szCs w:val="28"/>
          <w:rtl/>
        </w:rPr>
        <w:t>تشرين الأول/أكتوبر</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2023،</w:t>
      </w:r>
      <w:r w:rsidR="00D92DE1" w:rsidRPr="00731C9A">
        <w:rPr>
          <w:rFonts w:ascii="Simplified Arabic" w:hAnsi="Simplified Arabic" w:cs="Simplified Arabic" w:hint="cs"/>
          <w:b/>
          <w:bCs/>
          <w:sz w:val="28"/>
          <w:szCs w:val="28"/>
          <w:rtl/>
        </w:rPr>
        <w:t xml:space="preserve"> </w:t>
      </w:r>
      <w:r w:rsidR="0088712B" w:rsidRPr="00731C9A">
        <w:rPr>
          <w:rFonts w:ascii="Simplified Arabic" w:hAnsi="Simplified Arabic" w:cs="Simplified Arabic" w:hint="cs"/>
          <w:b/>
          <w:bCs/>
          <w:sz w:val="28"/>
          <w:szCs w:val="28"/>
          <w:rtl/>
        </w:rPr>
        <w:t>استعرضت</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د.</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عوض</w:t>
      </w:r>
      <w:r w:rsidR="0088712B" w:rsidRPr="00731C9A">
        <w:rPr>
          <w:rFonts w:ascii="Simplified Arabic" w:hAnsi="Simplified Arabic" w:cs="Simplified Arabic" w:hint="cs"/>
          <w:b/>
          <w:bCs/>
          <w:sz w:val="28"/>
          <w:szCs w:val="28"/>
          <w:rtl/>
        </w:rPr>
        <w:t>،</w:t>
      </w:r>
      <w:r w:rsidR="00D92DE1" w:rsidRPr="00731C9A">
        <w:rPr>
          <w:rFonts w:ascii="Simplified Arabic" w:hAnsi="Simplified Arabic" w:cs="Simplified Arabic" w:hint="cs"/>
          <w:b/>
          <w:bCs/>
          <w:sz w:val="28"/>
          <w:szCs w:val="28"/>
          <w:rtl/>
        </w:rPr>
        <w:t xml:space="preserve"> </w:t>
      </w:r>
      <w:r w:rsidR="0088712B" w:rsidRPr="00731C9A">
        <w:rPr>
          <w:rFonts w:ascii="Simplified Arabic" w:hAnsi="Simplified Arabic" w:cs="Simplified Arabic" w:hint="cs"/>
          <w:b/>
          <w:bCs/>
          <w:sz w:val="28"/>
          <w:szCs w:val="28"/>
          <w:rtl/>
        </w:rPr>
        <w:t>رئيسة</w:t>
      </w:r>
      <w:r w:rsidR="00D92DE1" w:rsidRPr="00731C9A">
        <w:rPr>
          <w:rFonts w:ascii="Simplified Arabic" w:hAnsi="Simplified Arabic" w:cs="Simplified Arabic" w:hint="cs"/>
          <w:b/>
          <w:bCs/>
          <w:sz w:val="28"/>
          <w:szCs w:val="28"/>
          <w:rtl/>
        </w:rPr>
        <w:t xml:space="preserve"> </w:t>
      </w:r>
      <w:r w:rsidR="001F65DA" w:rsidRPr="00731C9A">
        <w:rPr>
          <w:rFonts w:ascii="Simplified Arabic" w:hAnsi="Simplified Arabic" w:cs="Simplified Arabic" w:hint="cs"/>
          <w:b/>
          <w:bCs/>
          <w:sz w:val="28"/>
          <w:szCs w:val="28"/>
          <w:rtl/>
        </w:rPr>
        <w:t>الإحصاء</w:t>
      </w:r>
      <w:r w:rsidR="00D92DE1" w:rsidRPr="00731C9A">
        <w:rPr>
          <w:rFonts w:ascii="Simplified Arabic" w:hAnsi="Simplified Arabic" w:cs="Simplified Arabic" w:hint="cs"/>
          <w:b/>
          <w:bCs/>
          <w:sz w:val="28"/>
          <w:szCs w:val="28"/>
          <w:rtl/>
        </w:rPr>
        <w:t xml:space="preserve"> </w:t>
      </w:r>
      <w:r w:rsidR="0088712B" w:rsidRPr="00731C9A">
        <w:rPr>
          <w:rFonts w:ascii="Simplified Arabic" w:hAnsi="Simplified Arabic" w:cs="Simplified Arabic" w:hint="cs"/>
          <w:b/>
          <w:bCs/>
          <w:sz w:val="28"/>
          <w:szCs w:val="28"/>
          <w:rtl/>
        </w:rPr>
        <w:t>الفلسطيني</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سمات</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العمالة</w:t>
      </w:r>
      <w:r w:rsidR="00D92DE1" w:rsidRPr="00731C9A">
        <w:rPr>
          <w:rFonts w:ascii="Simplified Arabic" w:hAnsi="Simplified Arabic" w:cs="Simplified Arabic" w:hint="cs"/>
          <w:b/>
          <w:bCs/>
          <w:sz w:val="28"/>
          <w:szCs w:val="28"/>
          <w:rtl/>
        </w:rPr>
        <w:t xml:space="preserve"> </w:t>
      </w:r>
      <w:r w:rsidR="00D53394" w:rsidRPr="00731C9A">
        <w:rPr>
          <w:rFonts w:ascii="Simplified Arabic" w:hAnsi="Simplified Arabic" w:cs="Simplified Arabic" w:hint="cs"/>
          <w:b/>
          <w:bCs/>
          <w:sz w:val="28"/>
          <w:szCs w:val="28"/>
          <w:rtl/>
        </w:rPr>
        <w:t>الفلسطينية</w:t>
      </w:r>
      <w:r w:rsidR="009A1105" w:rsidRPr="00731C9A">
        <w:rPr>
          <w:rFonts w:ascii="Simplified Arabic" w:hAnsi="Simplified Arabic" w:cs="Simplified Arabic" w:hint="cs"/>
          <w:b/>
          <w:bCs/>
          <w:sz w:val="28"/>
          <w:szCs w:val="28"/>
          <w:rtl/>
        </w:rPr>
        <w:t>.</w:t>
      </w:r>
      <w:r w:rsidR="00D92DE1" w:rsidRPr="00731C9A">
        <w:rPr>
          <w:rFonts w:ascii="Simplified Arabic" w:hAnsi="Simplified Arabic" w:cs="Simplified Arabic" w:hint="cs"/>
          <w:b/>
          <w:bCs/>
          <w:sz w:val="28"/>
          <w:szCs w:val="28"/>
          <w:rtl/>
        </w:rPr>
        <w:t xml:space="preserve"> </w:t>
      </w:r>
    </w:p>
    <w:p w:rsidR="001F65DA" w:rsidRDefault="001F65DA" w:rsidP="001F65DA">
      <w:pPr>
        <w:widowControl w:val="0"/>
        <w:jc w:val="lowKashida"/>
        <w:rPr>
          <w:rFonts w:ascii="Simplified Arabic" w:hAnsi="Simplified Arabic" w:cs="Simplified Arabic"/>
          <w:color w:val="000000"/>
          <w:sz w:val="16"/>
          <w:szCs w:val="16"/>
        </w:rPr>
      </w:pPr>
    </w:p>
    <w:p w:rsidR="007D1971" w:rsidRPr="00731C9A" w:rsidRDefault="007D1971" w:rsidP="00A419AB">
      <w:pPr>
        <w:pStyle w:val="NormalWeb"/>
        <w:bidi/>
        <w:spacing w:before="0" w:beforeAutospacing="0" w:after="0" w:afterAutospacing="0"/>
        <w:jc w:val="lowKashida"/>
        <w:rPr>
          <w:rFonts w:ascii="Simplified Arabic" w:hAnsi="Simplified Arabic" w:cs="Simplified Arabic"/>
          <w:color w:val="000000"/>
          <w:sz w:val="26"/>
          <w:szCs w:val="26"/>
          <w:rtl/>
        </w:rPr>
      </w:pPr>
      <w:r w:rsidRPr="00731C9A">
        <w:rPr>
          <w:rFonts w:ascii="Simplified Arabic" w:hAnsi="Simplified Arabic" w:cs="Simplified Arabic"/>
          <w:sz w:val="26"/>
          <w:szCs w:val="26"/>
          <w:rtl/>
        </w:rPr>
        <w:t xml:space="preserve">شهدت </w:t>
      </w:r>
      <w:r w:rsidR="00A419AB" w:rsidRPr="00731C9A">
        <w:rPr>
          <w:rFonts w:ascii="Simplified Arabic" w:hAnsi="Simplified Arabic" w:cs="Simplified Arabic"/>
          <w:sz w:val="26"/>
          <w:szCs w:val="26"/>
          <w:rtl/>
        </w:rPr>
        <w:t xml:space="preserve">فلسطين </w:t>
      </w:r>
      <w:r w:rsidRPr="00731C9A">
        <w:rPr>
          <w:rFonts w:ascii="Simplified Arabic" w:hAnsi="Simplified Arabic" w:cs="Simplified Arabic"/>
          <w:sz w:val="26"/>
          <w:szCs w:val="26"/>
          <w:rtl/>
        </w:rPr>
        <w:t>منذ السابع من أكتوبر/ تشرين اول 2023 فصلاً جديداً من فصول المعاناة التي ما زالت مستمرة منذ قرن.</w:t>
      </w:r>
      <w:r w:rsidR="00731C9A">
        <w:rPr>
          <w:rFonts w:ascii="Simplified Arabic" w:hAnsi="Simplified Arabic" w:cs="Simplified Arabic" w:hint="cs"/>
          <w:sz w:val="26"/>
          <w:szCs w:val="26"/>
          <w:rtl/>
        </w:rPr>
        <w:t xml:space="preserve">       </w:t>
      </w:r>
      <w:r w:rsidRPr="00731C9A">
        <w:rPr>
          <w:rFonts w:ascii="Simplified Arabic" w:hAnsi="Simplified Arabic" w:cs="Simplified Arabic"/>
          <w:sz w:val="26"/>
          <w:szCs w:val="26"/>
          <w:rtl/>
        </w:rPr>
        <w:t xml:space="preserve"> فقد تدهورت حالة الاستقرار النسبي التي مر بها الشعب الفلسطيني منذ قدوم السلطة الوطنية الفلسطينية، وإذا بأز</w:t>
      </w:r>
      <w:r w:rsidR="00A419AB" w:rsidRPr="00731C9A">
        <w:rPr>
          <w:rFonts w:ascii="Simplified Arabic" w:hAnsi="Simplified Arabic" w:cs="Simplified Arabic"/>
          <w:sz w:val="26"/>
          <w:szCs w:val="26"/>
          <w:rtl/>
        </w:rPr>
        <w:t>مة أصعب مما سبق تحل به، وتعطل جميع مناحي الحياة</w:t>
      </w:r>
      <w:r w:rsidRPr="00731C9A">
        <w:rPr>
          <w:rFonts w:ascii="Simplified Arabic" w:hAnsi="Simplified Arabic" w:cs="Simplified Arabic"/>
          <w:sz w:val="26"/>
          <w:szCs w:val="26"/>
          <w:rtl/>
        </w:rPr>
        <w:t>. ومن أصعب مظاهر المعاناة التي شهدتها الفترة الأخيرة حرب الإبادة على قطاع غزة. وقد تأثر بهذه الأزمة المستمرة بشكل مباشر العاملين الفلسطينيين الذين كانوا يعملون في اسرائيل والمستعمرات عشية السابع من اكتوبر 2023، والذين كانوا يشكلون خُمس العاملين الفلسطينيين، وبالتالي أثر ذلك على العاملين بالقطاع الخاص المحلي من جراء فقدان الواردات والمدخولات التي كانت ترد من قطاع العمل في اسرائيل والمستعمرات. ودخل سوق العمل الفلسطيني منذ عشية السابع من اكتوبر 2023 أزمة حادة ومستمرة لغاية الآن.</w:t>
      </w:r>
    </w:p>
    <w:p w:rsidR="007D1971" w:rsidRPr="00731C9A" w:rsidRDefault="007D1971" w:rsidP="001F65DA">
      <w:pPr>
        <w:widowControl w:val="0"/>
        <w:jc w:val="lowKashida"/>
        <w:rPr>
          <w:rFonts w:ascii="Simplified Arabic" w:hAnsi="Simplified Arabic" w:cs="Simplified Arabic"/>
          <w:color w:val="000000"/>
          <w:sz w:val="16"/>
          <w:szCs w:val="16"/>
        </w:rPr>
      </w:pPr>
    </w:p>
    <w:p w:rsidR="001F65DA" w:rsidRPr="00731C9A" w:rsidRDefault="00D53394" w:rsidP="00A419AB">
      <w:pPr>
        <w:widowControl w:val="0"/>
        <w:jc w:val="lowKashida"/>
        <w:rPr>
          <w:rFonts w:ascii="Simplified Arabic" w:hAnsi="Simplified Arabic" w:cs="Simplified Arabic"/>
          <w:color w:val="000000"/>
          <w:sz w:val="26"/>
          <w:szCs w:val="26"/>
          <w:rtl/>
        </w:rPr>
      </w:pP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ظل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عدوان</w:t>
      </w:r>
      <w:r w:rsidR="00D92DE1" w:rsidRPr="00731C9A">
        <w:rPr>
          <w:rFonts w:ascii="Simplified Arabic" w:hAnsi="Simplified Arabic" w:cs="Simplified Arabic"/>
          <w:color w:val="000000"/>
          <w:sz w:val="26"/>
          <w:szCs w:val="26"/>
          <w:rtl/>
        </w:rPr>
        <w:t xml:space="preserve"> </w:t>
      </w:r>
      <w:r w:rsidR="00921C78" w:rsidRPr="00731C9A">
        <w:rPr>
          <w:rFonts w:ascii="Simplified Arabic" w:hAnsi="Simplified Arabic" w:cs="Simplified Arabic"/>
          <w:color w:val="000000"/>
          <w:sz w:val="26"/>
          <w:szCs w:val="26"/>
          <w:rtl/>
        </w:rPr>
        <w:t xml:space="preserve">الاحتلال </w:t>
      </w:r>
      <w:r w:rsidR="001F65DA" w:rsidRPr="00731C9A">
        <w:rPr>
          <w:rFonts w:ascii="Simplified Arabic" w:hAnsi="Simplified Arabic" w:cs="Simplified Arabic"/>
          <w:color w:val="000000"/>
          <w:sz w:val="26"/>
          <w:szCs w:val="26"/>
          <w:rtl/>
        </w:rPr>
        <w:t>الإسرائيلي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المستمر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على</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غزة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منذ</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السابع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من</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 xml:space="preserve">تشرين الأول/أكتوبر </w:t>
      </w:r>
      <w:r w:rsidRPr="00731C9A">
        <w:rPr>
          <w:rFonts w:ascii="Simplified Arabic" w:hAnsi="Simplified Arabic" w:cs="Simplified Arabic"/>
          <w:color w:val="000000"/>
          <w:sz w:val="26"/>
          <w:szCs w:val="26"/>
          <w:rtl/>
        </w:rPr>
        <w:t>2023،</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وما</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نتج</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عنه</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من</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توقف</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للاقتصاد</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غزة</w:t>
      </w:r>
      <w:r w:rsidR="001F65DA"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ولأجل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غير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معلوم،</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يصبح</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الحديث</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عن</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سمات</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العمالة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غزة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غير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واقعي</w:t>
      </w:r>
      <w:r w:rsidR="00A419AB" w:rsidRPr="00731C9A">
        <w:rPr>
          <w:rFonts w:ascii="Simplified Arabic" w:hAnsi="Simplified Arabic" w:cs="Simplified Arabic"/>
          <w:color w:val="000000"/>
          <w:sz w:val="26"/>
          <w:szCs w:val="26"/>
          <w:rtl/>
        </w:rPr>
        <w:t>، كون غالبية المفاهيم والمصطلحات المتعلقة بقياس سمات القوى العاملة</w:t>
      </w:r>
      <w:r w:rsidR="00A419AB" w:rsidRPr="00731C9A">
        <w:rPr>
          <w:rFonts w:ascii="Simplified Arabic" w:hAnsi="Simplified Arabic" w:cs="Simplified Arabic"/>
          <w:color w:val="000000"/>
          <w:sz w:val="26"/>
          <w:szCs w:val="26"/>
        </w:rPr>
        <w:t xml:space="preserve"> </w:t>
      </w:r>
      <w:r w:rsidR="00A419AB" w:rsidRPr="00731C9A">
        <w:rPr>
          <w:rFonts w:ascii="Simplified Arabic" w:hAnsi="Simplified Arabic" w:cs="Simplified Arabic"/>
          <w:color w:val="000000"/>
          <w:sz w:val="26"/>
          <w:szCs w:val="26"/>
          <w:rtl/>
        </w:rPr>
        <w:t xml:space="preserve">لا تنطبق على قطاع غزة بسبب حرب الإبادة عليه، وانه بالتعاون مع منظمة العمل الدولية جاري العمل على تطوير اليات احتساب مؤشرات القوى العاملة بما </w:t>
      </w:r>
      <w:proofErr w:type="spellStart"/>
      <w:r w:rsidR="00A419AB" w:rsidRPr="00731C9A">
        <w:rPr>
          <w:rFonts w:ascii="Simplified Arabic" w:hAnsi="Simplified Arabic" w:cs="Simplified Arabic"/>
          <w:color w:val="000000"/>
          <w:sz w:val="26"/>
          <w:szCs w:val="26"/>
          <w:rtl/>
        </w:rPr>
        <w:t>يتلائم</w:t>
      </w:r>
      <w:proofErr w:type="spellEnd"/>
      <w:r w:rsidR="00A419AB" w:rsidRPr="00731C9A">
        <w:rPr>
          <w:rFonts w:ascii="Simplified Arabic" w:hAnsi="Simplified Arabic" w:cs="Simplified Arabic"/>
          <w:color w:val="000000"/>
          <w:sz w:val="26"/>
          <w:szCs w:val="26"/>
          <w:rtl/>
        </w:rPr>
        <w:t xml:space="preserve"> مع الوضع الحالي عليه.</w:t>
      </w:r>
    </w:p>
    <w:p w:rsidR="001F65DA" w:rsidRPr="00731C9A" w:rsidRDefault="001F65DA" w:rsidP="001F65DA">
      <w:pPr>
        <w:widowControl w:val="0"/>
        <w:jc w:val="lowKashida"/>
        <w:rPr>
          <w:rFonts w:ascii="Simplified Arabic" w:hAnsi="Simplified Arabic" w:cs="Simplified Arabic"/>
          <w:color w:val="000000"/>
          <w:sz w:val="16"/>
          <w:szCs w:val="16"/>
          <w:rtl/>
        </w:rPr>
      </w:pPr>
    </w:p>
    <w:p w:rsidR="006F257F" w:rsidRPr="00731C9A" w:rsidRDefault="00A419AB" w:rsidP="006A270D">
      <w:pPr>
        <w:widowControl w:val="0"/>
        <w:jc w:val="lowKashida"/>
        <w:rPr>
          <w:rFonts w:ascii="Simplified Arabic" w:hAnsi="Simplified Arabic" w:cs="Simplified Arabic"/>
          <w:color w:val="000000"/>
          <w:sz w:val="26"/>
          <w:szCs w:val="26"/>
          <w:rtl/>
        </w:rPr>
      </w:pPr>
      <w:r w:rsidRPr="00731C9A">
        <w:rPr>
          <w:rFonts w:ascii="Simplified Arabic" w:hAnsi="Simplified Arabic" w:cs="Simplified Arabic"/>
          <w:color w:val="000000"/>
          <w:sz w:val="26"/>
          <w:szCs w:val="26"/>
          <w:rtl/>
        </w:rPr>
        <w:t>اظهرت</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نتائج</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مسح</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القوى</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العاملة</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قطاع</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غزة</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 xml:space="preserve">في الربع الرابع من العام 2024 </w:t>
      </w:r>
      <w:r w:rsidR="0054011C" w:rsidRPr="00731C9A">
        <w:rPr>
          <w:rFonts w:ascii="Simplified Arabic" w:hAnsi="Simplified Arabic" w:cs="Simplified Arabic"/>
          <w:color w:val="000000"/>
          <w:sz w:val="26"/>
          <w:szCs w:val="26"/>
          <w:rtl/>
        </w:rPr>
        <w:t>إلى</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ارتفاع</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معدلات</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البطالة</w:t>
      </w:r>
      <w:r w:rsidR="001F65DA"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لتصل</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 xml:space="preserve">إلى </w:t>
      </w:r>
      <w:r w:rsidR="0054011C"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68%</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مقابل</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0054011C" w:rsidRPr="00731C9A">
        <w:rPr>
          <w:rFonts w:ascii="Simplified Arabic" w:hAnsi="Simplified Arabic" w:cs="Simplified Arabic"/>
          <w:color w:val="000000"/>
          <w:sz w:val="26"/>
          <w:szCs w:val="26"/>
          <w:rtl/>
        </w:rPr>
        <w:t>45%</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الربع</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الثالث</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من</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ال</w:t>
      </w:r>
      <w:r w:rsidR="00FF1086" w:rsidRPr="00731C9A">
        <w:rPr>
          <w:rFonts w:ascii="Simplified Arabic" w:hAnsi="Simplified Arabic" w:cs="Simplified Arabic"/>
          <w:color w:val="000000"/>
          <w:sz w:val="26"/>
          <w:szCs w:val="26"/>
          <w:rtl/>
        </w:rPr>
        <w:t>عام</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2023،</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كما</w:t>
      </w:r>
      <w:r w:rsidR="00D92DE1" w:rsidRPr="00731C9A">
        <w:rPr>
          <w:rFonts w:ascii="Simplified Arabic" w:hAnsi="Simplified Arabic" w:cs="Simplified Arabic"/>
          <w:color w:val="000000"/>
          <w:sz w:val="26"/>
          <w:szCs w:val="26"/>
          <w:rtl/>
        </w:rPr>
        <w:t xml:space="preserve"> </w:t>
      </w:r>
      <w:r w:rsidR="000B6252" w:rsidRPr="00731C9A">
        <w:rPr>
          <w:rFonts w:ascii="Simplified Arabic" w:hAnsi="Simplified Arabic" w:cs="Simplified Arabic"/>
          <w:color w:val="000000"/>
          <w:sz w:val="26"/>
          <w:szCs w:val="26"/>
          <w:rtl/>
        </w:rPr>
        <w:t>أشارت</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نتائج</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هذا</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المسح</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إلى</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انخفاض</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نسبة</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المشاركة</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القوى</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العاملة</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لتصل</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 xml:space="preserve">إلى </w:t>
      </w:r>
      <w:r w:rsidR="00FF1086"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Pr>
        <w:t>30</w:t>
      </w:r>
      <w:r w:rsidR="00FF1086"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مقابل</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40%</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الربع</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الثالث</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2023</w:t>
      </w:r>
      <w:r w:rsidR="001F65DA"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أي</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قبل</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السابع</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من</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تشرين الأول/</w:t>
      </w:r>
      <w:r w:rsidR="00BF4A21" w:rsidRPr="00731C9A">
        <w:rPr>
          <w:rFonts w:ascii="Simplified Arabic" w:hAnsi="Simplified Arabic" w:cs="Simplified Arabic"/>
          <w:color w:val="000000"/>
          <w:sz w:val="26"/>
          <w:szCs w:val="26"/>
          <w:rtl/>
        </w:rPr>
        <w:t>أكتوبر</w:t>
      </w:r>
      <w:r w:rsidR="00D92DE1" w:rsidRPr="00731C9A">
        <w:rPr>
          <w:rFonts w:ascii="Simplified Arabic" w:hAnsi="Simplified Arabic" w:cs="Simplified Arabic"/>
          <w:color w:val="000000"/>
          <w:sz w:val="26"/>
          <w:szCs w:val="26"/>
          <w:rtl/>
        </w:rPr>
        <w:t xml:space="preserve"> </w:t>
      </w:r>
      <w:r w:rsidR="00BF4A21" w:rsidRPr="00731C9A">
        <w:rPr>
          <w:rFonts w:ascii="Simplified Arabic" w:hAnsi="Simplified Arabic" w:cs="Simplified Arabic"/>
          <w:color w:val="000000"/>
          <w:sz w:val="26"/>
          <w:szCs w:val="26"/>
          <w:rtl/>
        </w:rPr>
        <w:t>2023</w:t>
      </w:r>
      <w:r w:rsidR="006A270D" w:rsidRPr="00731C9A">
        <w:rPr>
          <w:rFonts w:ascii="Simplified Arabic" w:hAnsi="Simplified Arabic" w:cs="Simplified Arabic"/>
          <w:color w:val="000000"/>
          <w:sz w:val="26"/>
          <w:szCs w:val="26"/>
          <w:rtl/>
        </w:rPr>
        <w:t xml:space="preserve">، كما </w:t>
      </w:r>
      <w:r w:rsidR="00871D37" w:rsidRPr="00731C9A">
        <w:rPr>
          <w:rFonts w:ascii="Simplified Arabic" w:hAnsi="Simplified Arabic" w:cs="Simplified Arabic"/>
          <w:color w:val="000000"/>
          <w:sz w:val="26"/>
          <w:szCs w:val="26"/>
          <w:rtl/>
        </w:rPr>
        <w:t>أظهرت</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النتائج</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تضرر</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فئة</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الشباب</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(15-29)</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سنة</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بشكل</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كبير</w:t>
      </w:r>
      <w:r w:rsidR="001F65DA"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فحوالي</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ثلاثة</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أرباع</w:t>
      </w:r>
      <w:r w:rsidR="00D92DE1" w:rsidRPr="00731C9A">
        <w:rPr>
          <w:rFonts w:ascii="Simplified Arabic" w:hAnsi="Simplified Arabic" w:cs="Simplified Arabic"/>
          <w:color w:val="000000"/>
          <w:sz w:val="26"/>
          <w:szCs w:val="26"/>
          <w:rtl/>
        </w:rPr>
        <w:t xml:space="preserve"> </w:t>
      </w:r>
      <w:r w:rsidR="00FF1086" w:rsidRPr="00731C9A">
        <w:rPr>
          <w:rFonts w:ascii="Simplified Arabic" w:hAnsi="Simplified Arabic" w:cs="Simplified Arabic"/>
          <w:color w:val="000000"/>
          <w:sz w:val="26"/>
          <w:szCs w:val="26"/>
          <w:rtl/>
        </w:rPr>
        <w:t>الشباب</w:t>
      </w:r>
      <w:r w:rsidR="00D92DE1" w:rsidRPr="00731C9A">
        <w:rPr>
          <w:rFonts w:ascii="Simplified Arabic" w:hAnsi="Simplified Arabic" w:cs="Simplified Arabic"/>
          <w:color w:val="000000"/>
          <w:sz w:val="26"/>
          <w:szCs w:val="26"/>
          <w:rtl/>
        </w:rPr>
        <w:t xml:space="preserve"> </w:t>
      </w:r>
      <w:r w:rsidR="00DB3905" w:rsidRPr="00731C9A">
        <w:rPr>
          <w:rFonts w:ascii="Simplified Arabic" w:hAnsi="Simplified Arabic" w:cs="Simplified Arabic"/>
          <w:color w:val="000000"/>
          <w:sz w:val="26"/>
          <w:szCs w:val="26"/>
          <w:rtl/>
        </w:rPr>
        <w:t>(74</w:t>
      </w:r>
      <w:r w:rsidR="00A5448B" w:rsidRPr="00731C9A">
        <w:rPr>
          <w:rFonts w:ascii="Simplified Arabic" w:hAnsi="Simplified Arabic" w:cs="Simplified Arabic"/>
          <w:color w:val="000000"/>
          <w:sz w:val="26"/>
          <w:szCs w:val="26"/>
          <w:rtl/>
        </w:rPr>
        <w:t>%</w:t>
      </w:r>
      <w:r w:rsidR="00DB3905"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1F65DA" w:rsidRPr="00731C9A">
        <w:rPr>
          <w:rFonts w:ascii="Simplified Arabic" w:hAnsi="Simplified Arabic" w:cs="Simplified Arabic"/>
          <w:color w:val="000000"/>
          <w:sz w:val="26"/>
          <w:szCs w:val="26"/>
          <w:rtl/>
        </w:rPr>
        <w:t xml:space="preserve">أصبحوا </w:t>
      </w:r>
      <w:r w:rsidR="00FF1086" w:rsidRPr="00731C9A">
        <w:rPr>
          <w:rFonts w:ascii="Simplified Arabic" w:hAnsi="Simplified Arabic" w:cs="Simplified Arabic"/>
          <w:color w:val="000000"/>
          <w:sz w:val="26"/>
          <w:szCs w:val="26"/>
          <w:rtl/>
        </w:rPr>
        <w:t>خ</w:t>
      </w:r>
      <w:r w:rsidR="00A5448B" w:rsidRPr="00731C9A">
        <w:rPr>
          <w:rFonts w:ascii="Simplified Arabic" w:hAnsi="Simplified Arabic" w:cs="Simplified Arabic"/>
          <w:color w:val="000000"/>
          <w:sz w:val="26"/>
          <w:szCs w:val="26"/>
          <w:rtl/>
        </w:rPr>
        <w:t>ارج</w:t>
      </w:r>
      <w:r w:rsidR="00D92DE1" w:rsidRPr="00731C9A">
        <w:rPr>
          <w:rFonts w:ascii="Simplified Arabic" w:hAnsi="Simplified Arabic" w:cs="Simplified Arabic"/>
          <w:color w:val="000000"/>
          <w:sz w:val="26"/>
          <w:szCs w:val="26"/>
          <w:rtl/>
        </w:rPr>
        <w:t xml:space="preserve"> </w:t>
      </w:r>
      <w:r w:rsidR="00A5448B" w:rsidRPr="00731C9A">
        <w:rPr>
          <w:rFonts w:ascii="Simplified Arabic" w:hAnsi="Simplified Arabic" w:cs="Simplified Arabic"/>
          <w:color w:val="000000"/>
          <w:sz w:val="26"/>
          <w:szCs w:val="26"/>
          <w:rtl/>
        </w:rPr>
        <w:t>التعليم</w:t>
      </w:r>
      <w:r w:rsidR="00D92DE1" w:rsidRPr="00731C9A">
        <w:rPr>
          <w:rFonts w:ascii="Simplified Arabic" w:hAnsi="Simplified Arabic" w:cs="Simplified Arabic"/>
          <w:color w:val="000000"/>
          <w:sz w:val="26"/>
          <w:szCs w:val="26"/>
          <w:rtl/>
        </w:rPr>
        <w:t xml:space="preserve"> </w:t>
      </w:r>
      <w:r w:rsidR="00A5448B" w:rsidRPr="00731C9A">
        <w:rPr>
          <w:rFonts w:ascii="Simplified Arabic" w:hAnsi="Simplified Arabic" w:cs="Simplified Arabic"/>
          <w:color w:val="000000"/>
          <w:sz w:val="26"/>
          <w:szCs w:val="26"/>
          <w:rtl/>
        </w:rPr>
        <w:t>والتدريب</w:t>
      </w:r>
      <w:r w:rsidR="00D92DE1" w:rsidRPr="00731C9A">
        <w:rPr>
          <w:rFonts w:ascii="Simplified Arabic" w:hAnsi="Simplified Arabic" w:cs="Simplified Arabic"/>
          <w:color w:val="000000"/>
          <w:sz w:val="26"/>
          <w:szCs w:val="26"/>
          <w:rtl/>
        </w:rPr>
        <w:t xml:space="preserve"> </w:t>
      </w:r>
      <w:r w:rsidR="00A5448B" w:rsidRPr="00731C9A">
        <w:rPr>
          <w:rFonts w:ascii="Simplified Arabic" w:hAnsi="Simplified Arabic" w:cs="Simplified Arabic"/>
          <w:color w:val="000000"/>
          <w:sz w:val="26"/>
          <w:szCs w:val="26"/>
          <w:rtl/>
        </w:rPr>
        <w:t>وسوق</w:t>
      </w:r>
      <w:r w:rsidR="00D92DE1" w:rsidRPr="00731C9A">
        <w:rPr>
          <w:rFonts w:ascii="Simplified Arabic" w:hAnsi="Simplified Arabic" w:cs="Simplified Arabic"/>
          <w:color w:val="000000"/>
          <w:sz w:val="26"/>
          <w:szCs w:val="26"/>
          <w:rtl/>
        </w:rPr>
        <w:t xml:space="preserve"> </w:t>
      </w:r>
      <w:r w:rsidR="00A5448B" w:rsidRPr="00731C9A">
        <w:rPr>
          <w:rFonts w:ascii="Simplified Arabic" w:hAnsi="Simplified Arabic" w:cs="Simplified Arabic"/>
          <w:color w:val="000000"/>
          <w:sz w:val="26"/>
          <w:szCs w:val="26"/>
          <w:rtl/>
        </w:rPr>
        <w:t>العمل.</w:t>
      </w:r>
    </w:p>
    <w:p w:rsidR="001F65DA" w:rsidRPr="007D1971" w:rsidRDefault="001F65DA" w:rsidP="001F65DA">
      <w:pPr>
        <w:widowControl w:val="0"/>
        <w:jc w:val="lowKashida"/>
        <w:rPr>
          <w:rFonts w:ascii="Simplified Arabic" w:hAnsi="Simplified Arabic" w:cs="Simplified Arabic"/>
          <w:color w:val="000000"/>
          <w:sz w:val="4"/>
          <w:szCs w:val="4"/>
          <w:rtl/>
        </w:rPr>
      </w:pPr>
    </w:p>
    <w:p w:rsidR="00551329" w:rsidRPr="00731C9A" w:rsidRDefault="00551329" w:rsidP="00342689">
      <w:pPr>
        <w:widowControl w:val="0"/>
        <w:jc w:val="lowKashida"/>
        <w:rPr>
          <w:rFonts w:ascii="Simplified Arabic" w:hAnsi="Simplified Arabic" w:cs="Simplified Arabic"/>
          <w:color w:val="000000"/>
          <w:sz w:val="16"/>
          <w:szCs w:val="16"/>
          <w:rtl/>
        </w:rPr>
      </w:pPr>
    </w:p>
    <w:p w:rsidR="00731C9A" w:rsidRDefault="00F66ABF" w:rsidP="00731C9A">
      <w:pPr>
        <w:widowControl w:val="0"/>
        <w:jc w:val="lowKashida"/>
        <w:rPr>
          <w:rFonts w:ascii="Simplified Arabic" w:hAnsi="Simplified Arabic" w:cs="Simplified Arabic"/>
          <w:sz w:val="26"/>
          <w:szCs w:val="26"/>
          <w:rtl/>
        </w:rPr>
      </w:pPr>
      <w:r w:rsidRPr="00731C9A">
        <w:rPr>
          <w:rFonts w:ascii="Simplified Arabic" w:hAnsi="Simplified Arabic" w:cs="Simplified Arabic"/>
          <w:sz w:val="26"/>
          <w:szCs w:val="26"/>
          <w:rtl/>
        </w:rPr>
        <w:t>هذا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الأثر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لم</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يقتصر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قطاع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غزة،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وإنما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انعكس</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أيض</w:t>
      </w:r>
      <w:r w:rsidR="00BF4A21" w:rsidRPr="00731C9A">
        <w:rPr>
          <w:rFonts w:ascii="Simplified Arabic" w:hAnsi="Simplified Arabic" w:cs="Simplified Arabic"/>
          <w:sz w:val="26"/>
          <w:szCs w:val="26"/>
          <w:rtl/>
        </w:rPr>
        <w:t>اً،</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وإن</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كان</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بشكل</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أقل،</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فقد</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كان</w:t>
      </w:r>
      <w:r w:rsidR="001055D6" w:rsidRPr="00731C9A">
        <w:rPr>
          <w:rFonts w:ascii="Simplified Arabic" w:hAnsi="Simplified Arabic" w:cs="Simplified Arabic"/>
          <w:sz w:val="26"/>
          <w:szCs w:val="26"/>
          <w:rtl/>
        </w:rPr>
        <w:t xml:space="preserve"> هناك</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أثر</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كبير</w:t>
      </w:r>
      <w:r w:rsidR="00D92DE1" w:rsidRPr="00731C9A">
        <w:rPr>
          <w:rFonts w:ascii="Simplified Arabic" w:hAnsi="Simplified Arabic" w:cs="Simplified Arabic"/>
          <w:sz w:val="26"/>
          <w:szCs w:val="26"/>
          <w:rtl/>
        </w:rPr>
        <w:t xml:space="preserve"> </w:t>
      </w:r>
      <w:r w:rsidR="00BF4A21" w:rsidRPr="00731C9A">
        <w:rPr>
          <w:rFonts w:ascii="Simplified Arabic" w:hAnsi="Simplified Arabic" w:cs="Simplified Arabic"/>
          <w:sz w:val="26"/>
          <w:szCs w:val="26"/>
          <w:rtl/>
        </w:rPr>
        <w:t>ل</w:t>
      </w:r>
      <w:r w:rsidRPr="00731C9A">
        <w:rPr>
          <w:rFonts w:ascii="Simplified Arabic" w:hAnsi="Simplified Arabic" w:cs="Simplified Arabic"/>
          <w:sz w:val="26"/>
          <w:szCs w:val="26"/>
          <w:rtl/>
        </w:rPr>
        <w:t>عدوان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الاحتلال</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الإسرائيلي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قطاع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غزة،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وما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تبعه</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تداعيات</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تمثلت</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تشديد</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الخناق</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محافظات</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وتقطيع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التواصل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بينها،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ومنع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وصول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العمال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للعمل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الداخل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المحتل،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كل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هذه</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الأسباب</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وغيرها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أدت</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إلى</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شل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الحركة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الاقتصادية</w:t>
      </w:r>
      <w:r w:rsidR="00DF3A44"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ما</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كان</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له</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تأثير</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مباشر</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سمات</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القوى</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العاملة</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008649D3" w:rsidRPr="00731C9A">
        <w:rPr>
          <w:rFonts w:ascii="Simplified Arabic" w:hAnsi="Simplified Arabic" w:cs="Simplified Arabic"/>
          <w:sz w:val="26"/>
          <w:szCs w:val="26"/>
          <w:rtl/>
        </w:rPr>
        <w:t>الغربية</w:t>
      </w:r>
      <w:r w:rsidRPr="00731C9A">
        <w:rPr>
          <w:rFonts w:ascii="Simplified Arabic" w:hAnsi="Simplified Arabic" w:cs="Simplified Arabic"/>
          <w:sz w:val="26"/>
          <w:szCs w:val="26"/>
          <w:rtl/>
        </w:rPr>
        <w:t>.</w:t>
      </w:r>
    </w:p>
    <w:p w:rsidR="00731C9A" w:rsidRPr="00731C9A" w:rsidRDefault="00731C9A" w:rsidP="00731C9A">
      <w:pPr>
        <w:widowControl w:val="0"/>
        <w:jc w:val="lowKashida"/>
        <w:rPr>
          <w:rFonts w:ascii="Simplified Arabic" w:hAnsi="Simplified Arabic" w:cs="Simplified Arabic"/>
          <w:sz w:val="16"/>
          <w:szCs w:val="16"/>
          <w:rtl/>
        </w:rPr>
      </w:pPr>
    </w:p>
    <w:p w:rsidR="0083296D" w:rsidRPr="00731C9A" w:rsidRDefault="00ED76DC" w:rsidP="005D3FF5">
      <w:pPr>
        <w:pStyle w:val="NoSpacing"/>
        <w:jc w:val="both"/>
        <w:rPr>
          <w:rFonts w:ascii="Simplified Arabic" w:hAnsi="Simplified Arabic" w:cs="Simplified Arabic"/>
          <w:sz w:val="26"/>
          <w:szCs w:val="26"/>
          <w:rtl/>
        </w:rPr>
      </w:pPr>
      <w:r w:rsidRPr="00731C9A">
        <w:rPr>
          <w:rFonts w:ascii="Simplified Arabic" w:hAnsi="Simplified Arabic" w:cs="Simplified Arabic"/>
          <w:sz w:val="26"/>
          <w:szCs w:val="26"/>
          <w:rtl/>
        </w:rPr>
        <w:t>وفقا</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لذلك،</w:t>
      </w:r>
      <w:r w:rsidR="00D92DE1" w:rsidRPr="00731C9A">
        <w:rPr>
          <w:rFonts w:ascii="Simplified Arabic" w:hAnsi="Simplified Arabic" w:cs="Simplified Arabic"/>
          <w:sz w:val="26"/>
          <w:szCs w:val="26"/>
          <w:rtl/>
        </w:rPr>
        <w:t xml:space="preserve"> </w:t>
      </w:r>
      <w:r w:rsidR="008516A8" w:rsidRPr="00731C9A">
        <w:rPr>
          <w:rFonts w:ascii="Simplified Arabic" w:hAnsi="Simplified Arabic" w:cs="Simplified Arabic"/>
          <w:sz w:val="26"/>
          <w:szCs w:val="26"/>
          <w:rtl/>
        </w:rPr>
        <w:t>فقد</w:t>
      </w:r>
      <w:r w:rsidR="00D92DE1" w:rsidRPr="00731C9A">
        <w:rPr>
          <w:rFonts w:ascii="Simplified Arabic" w:hAnsi="Simplified Arabic" w:cs="Simplified Arabic"/>
          <w:sz w:val="26"/>
          <w:szCs w:val="26"/>
          <w:rtl/>
        </w:rPr>
        <w:t xml:space="preserve"> </w:t>
      </w:r>
      <w:r w:rsidR="008516A8" w:rsidRPr="00731C9A">
        <w:rPr>
          <w:rFonts w:ascii="Simplified Arabic" w:hAnsi="Simplified Arabic" w:cs="Simplified Arabic"/>
          <w:sz w:val="26"/>
          <w:szCs w:val="26"/>
          <w:rtl/>
        </w:rPr>
        <w:t>ارتفع</w:t>
      </w:r>
      <w:r w:rsidR="00D92DE1" w:rsidRPr="00731C9A">
        <w:rPr>
          <w:rFonts w:ascii="Simplified Arabic" w:hAnsi="Simplified Arabic" w:cs="Simplified Arabic"/>
          <w:sz w:val="26"/>
          <w:szCs w:val="26"/>
          <w:rtl/>
        </w:rPr>
        <w:t xml:space="preserve"> </w:t>
      </w:r>
      <w:r w:rsidR="005F0220" w:rsidRPr="00731C9A">
        <w:rPr>
          <w:rFonts w:ascii="Simplified Arabic" w:hAnsi="Simplified Arabic" w:cs="Simplified Arabic"/>
          <w:sz w:val="26"/>
          <w:szCs w:val="26"/>
          <w:rtl/>
        </w:rPr>
        <w:t>عدد</w:t>
      </w:r>
      <w:r w:rsidR="00D92DE1" w:rsidRPr="00731C9A">
        <w:rPr>
          <w:rFonts w:ascii="Simplified Arabic" w:hAnsi="Simplified Arabic" w:cs="Simplified Arabic"/>
          <w:sz w:val="26"/>
          <w:szCs w:val="26"/>
          <w:rtl/>
        </w:rPr>
        <w:t xml:space="preserve"> </w:t>
      </w:r>
      <w:r w:rsidR="00AD6DF0" w:rsidRPr="00731C9A">
        <w:rPr>
          <w:rFonts w:ascii="Simplified Arabic" w:hAnsi="Simplified Arabic" w:cs="Simplified Arabic"/>
          <w:sz w:val="26"/>
          <w:szCs w:val="26"/>
          <w:rtl/>
        </w:rPr>
        <w:t>العاطلين</w:t>
      </w:r>
      <w:r w:rsidR="00D92DE1" w:rsidRPr="00731C9A">
        <w:rPr>
          <w:rFonts w:ascii="Simplified Arabic" w:hAnsi="Simplified Arabic" w:cs="Simplified Arabic"/>
          <w:sz w:val="26"/>
          <w:szCs w:val="26"/>
          <w:rtl/>
        </w:rPr>
        <w:t xml:space="preserve"> </w:t>
      </w:r>
      <w:r w:rsidR="00AD6DF0" w:rsidRPr="00731C9A">
        <w:rPr>
          <w:rFonts w:ascii="Simplified Arabic" w:hAnsi="Simplified Arabic" w:cs="Simplified Arabic"/>
          <w:sz w:val="26"/>
          <w:szCs w:val="26"/>
          <w:rtl/>
        </w:rPr>
        <w:t>عن</w:t>
      </w:r>
      <w:r w:rsidR="00D92DE1" w:rsidRPr="00731C9A">
        <w:rPr>
          <w:rFonts w:ascii="Simplified Arabic" w:hAnsi="Simplified Arabic" w:cs="Simplified Arabic"/>
          <w:sz w:val="26"/>
          <w:szCs w:val="26"/>
          <w:rtl/>
        </w:rPr>
        <w:t xml:space="preserve"> </w:t>
      </w:r>
      <w:r w:rsidR="00AD6DF0" w:rsidRPr="00731C9A">
        <w:rPr>
          <w:rFonts w:ascii="Simplified Arabic" w:hAnsi="Simplified Arabic" w:cs="Simplified Arabic"/>
          <w:sz w:val="26"/>
          <w:szCs w:val="26"/>
          <w:rtl/>
        </w:rPr>
        <w:t>العمل</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 xml:space="preserve">إلى </w:t>
      </w:r>
      <w:r w:rsidR="00F311CF" w:rsidRPr="00731C9A">
        <w:rPr>
          <w:rFonts w:ascii="Simplified Arabic" w:hAnsi="Simplified Arabic" w:cs="Simplified Arabic"/>
          <w:sz w:val="26"/>
          <w:szCs w:val="26"/>
          <w:rtl/>
        </w:rPr>
        <w:t>3</w:t>
      </w:r>
      <w:r w:rsidR="005D6D9B" w:rsidRPr="00731C9A">
        <w:rPr>
          <w:rFonts w:ascii="Simplified Arabic" w:hAnsi="Simplified Arabic" w:cs="Simplified Arabic"/>
          <w:sz w:val="26"/>
          <w:szCs w:val="26"/>
          <w:rtl/>
        </w:rPr>
        <w:t>13</w:t>
      </w:r>
      <w:r w:rsidR="00D92DE1" w:rsidRPr="00731C9A">
        <w:rPr>
          <w:rFonts w:ascii="Simplified Arabic" w:hAnsi="Simplified Arabic" w:cs="Simplified Arabic"/>
          <w:sz w:val="26"/>
          <w:szCs w:val="26"/>
          <w:rtl/>
        </w:rPr>
        <w:t xml:space="preserve"> </w:t>
      </w:r>
      <w:r w:rsidR="00D542A0" w:rsidRPr="00731C9A">
        <w:rPr>
          <w:rFonts w:ascii="Simplified Arabic" w:hAnsi="Simplified Arabic" w:cs="Simplified Arabic"/>
          <w:sz w:val="26"/>
          <w:szCs w:val="26"/>
          <w:rtl/>
        </w:rPr>
        <w:t>ألف</w:t>
      </w:r>
      <w:r w:rsidR="001055D6" w:rsidRPr="00731C9A">
        <w:rPr>
          <w:rFonts w:ascii="Simplified Arabic" w:hAnsi="Simplified Arabic" w:cs="Simplified Arabic"/>
          <w:sz w:val="26"/>
          <w:szCs w:val="26"/>
          <w:rtl/>
        </w:rPr>
        <w:t>اً</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العام</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202</w:t>
      </w:r>
      <w:r w:rsidR="005D6D9B" w:rsidRPr="00731C9A">
        <w:rPr>
          <w:rFonts w:ascii="Simplified Arabic" w:hAnsi="Simplified Arabic" w:cs="Simplified Arabic"/>
          <w:sz w:val="26"/>
          <w:szCs w:val="26"/>
          <w:rtl/>
        </w:rPr>
        <w:t>4</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مقارنة</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مع</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1</w:t>
      </w:r>
      <w:r w:rsidR="005D6D9B" w:rsidRPr="00731C9A">
        <w:rPr>
          <w:rFonts w:ascii="Simplified Arabic" w:hAnsi="Simplified Arabic" w:cs="Simplified Arabic"/>
          <w:sz w:val="26"/>
          <w:szCs w:val="26"/>
          <w:rtl/>
        </w:rPr>
        <w:t>83</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ألفاً</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العام</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2023</w:t>
      </w:r>
      <w:r w:rsidR="002C1148"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465645" w:rsidRPr="00731C9A">
        <w:rPr>
          <w:rFonts w:ascii="Simplified Arabic" w:hAnsi="Simplified Arabic" w:cs="Simplified Arabic"/>
          <w:sz w:val="26"/>
          <w:szCs w:val="26"/>
          <w:rtl/>
        </w:rPr>
        <w:t>كما</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ارتفع</w:t>
      </w:r>
      <w:r w:rsidR="0096636D" w:rsidRPr="00731C9A">
        <w:rPr>
          <w:rFonts w:ascii="Simplified Arabic" w:hAnsi="Simplified Arabic" w:cs="Simplified Arabic"/>
          <w:sz w:val="26"/>
          <w:szCs w:val="26"/>
          <w:rtl/>
        </w:rPr>
        <w:t>ت</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معدل</w:t>
      </w:r>
      <w:r w:rsidR="0096636D" w:rsidRPr="00731C9A">
        <w:rPr>
          <w:rFonts w:ascii="Simplified Arabic" w:hAnsi="Simplified Arabic" w:cs="Simplified Arabic"/>
          <w:sz w:val="26"/>
          <w:szCs w:val="26"/>
          <w:rtl/>
        </w:rPr>
        <w:t>ات</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البطالة</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بين</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الأفراد</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المشاركين</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القوى</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العاملة</w:t>
      </w:r>
      <w:r w:rsidR="00D92DE1" w:rsidRPr="00731C9A">
        <w:rPr>
          <w:rFonts w:ascii="Simplified Arabic" w:hAnsi="Simplified Arabic" w:cs="Simplified Arabic"/>
          <w:sz w:val="26"/>
          <w:szCs w:val="26"/>
          <w:rtl/>
        </w:rPr>
        <w:t xml:space="preserve"> </w:t>
      </w:r>
      <w:r w:rsidR="00406C7C"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العام</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2024</w:t>
      </w:r>
      <w:r w:rsidR="00D92DE1" w:rsidRPr="00731C9A">
        <w:rPr>
          <w:rFonts w:ascii="Simplified Arabic" w:hAnsi="Simplified Arabic" w:cs="Simplified Arabic"/>
          <w:sz w:val="26"/>
          <w:szCs w:val="26"/>
          <w:rtl/>
        </w:rPr>
        <w:t xml:space="preserve"> </w:t>
      </w:r>
      <w:r w:rsidR="00465645" w:rsidRPr="00731C9A">
        <w:rPr>
          <w:rFonts w:ascii="Simplified Arabic" w:hAnsi="Simplified Arabic" w:cs="Simplified Arabic"/>
          <w:sz w:val="26"/>
          <w:szCs w:val="26"/>
          <w:rtl/>
        </w:rPr>
        <w:t>إلى</w:t>
      </w:r>
      <w:r w:rsidR="00D92DE1" w:rsidRPr="00731C9A">
        <w:rPr>
          <w:rFonts w:ascii="Simplified Arabic" w:hAnsi="Simplified Arabic" w:cs="Simplified Arabic"/>
          <w:sz w:val="26"/>
          <w:szCs w:val="26"/>
          <w:rtl/>
        </w:rPr>
        <w:t xml:space="preserve"> </w:t>
      </w:r>
      <w:r w:rsidR="00465645"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534F90" w:rsidRPr="00731C9A">
        <w:rPr>
          <w:rFonts w:ascii="Simplified Arabic" w:hAnsi="Simplified Arabic" w:cs="Simplified Arabic"/>
          <w:sz w:val="26"/>
          <w:szCs w:val="26"/>
          <w:rtl/>
        </w:rPr>
        <w:t>(</w:t>
      </w:r>
      <w:r w:rsidR="005D6D9B" w:rsidRPr="00731C9A">
        <w:rPr>
          <w:rFonts w:ascii="Simplified Arabic" w:hAnsi="Simplified Arabic" w:cs="Simplified Arabic"/>
          <w:sz w:val="26"/>
          <w:szCs w:val="26"/>
          <w:rtl/>
        </w:rPr>
        <w:t>31</w:t>
      </w:r>
      <w:r w:rsidR="00406C7C" w:rsidRPr="00731C9A">
        <w:rPr>
          <w:rFonts w:ascii="Simplified Arabic" w:hAnsi="Simplified Arabic" w:cs="Simplified Arabic"/>
          <w:sz w:val="26"/>
          <w:szCs w:val="26"/>
          <w:rtl/>
        </w:rPr>
        <w:t>%</w:t>
      </w:r>
      <w:r w:rsidR="00534F90"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465645" w:rsidRPr="00731C9A">
        <w:rPr>
          <w:rFonts w:ascii="Simplified Arabic" w:hAnsi="Simplified Arabic" w:cs="Simplified Arabic"/>
          <w:sz w:val="26"/>
          <w:szCs w:val="26"/>
          <w:rtl/>
        </w:rPr>
        <w:t>مقارنة</w:t>
      </w:r>
      <w:r w:rsidR="00D92DE1" w:rsidRPr="00731C9A">
        <w:rPr>
          <w:rFonts w:ascii="Simplified Arabic" w:hAnsi="Simplified Arabic" w:cs="Simplified Arabic"/>
          <w:sz w:val="26"/>
          <w:szCs w:val="26"/>
          <w:rtl/>
        </w:rPr>
        <w:t xml:space="preserve"> </w:t>
      </w:r>
      <w:r w:rsidR="00465645" w:rsidRPr="00731C9A">
        <w:rPr>
          <w:rFonts w:ascii="Simplified Arabic" w:hAnsi="Simplified Arabic" w:cs="Simplified Arabic"/>
          <w:sz w:val="26"/>
          <w:szCs w:val="26"/>
          <w:rtl/>
        </w:rPr>
        <w:t>مع</w:t>
      </w:r>
      <w:r w:rsidR="00D92DE1" w:rsidRPr="00731C9A">
        <w:rPr>
          <w:rFonts w:ascii="Simplified Arabic" w:hAnsi="Simplified Arabic" w:cs="Simplified Arabic"/>
          <w:sz w:val="26"/>
          <w:szCs w:val="26"/>
          <w:rtl/>
        </w:rPr>
        <w:t xml:space="preserve"> </w:t>
      </w:r>
      <w:r w:rsidR="00465645"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18</w:t>
      </w:r>
      <w:r w:rsidR="00465645"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العام</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2023</w:t>
      </w:r>
      <w:r w:rsidR="00D1749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 xml:space="preserve"> و</w:t>
      </w:r>
      <w:r w:rsidR="00873D0B" w:rsidRPr="00731C9A">
        <w:rPr>
          <w:rFonts w:ascii="Simplified Arabic" w:hAnsi="Simplified Arabic" w:cs="Simplified Arabic"/>
          <w:color w:val="000000"/>
          <w:sz w:val="26"/>
          <w:szCs w:val="26"/>
          <w:rtl/>
          <w:lang w:eastAsia="en-US"/>
        </w:rPr>
        <w:t>على</w:t>
      </w:r>
      <w:r w:rsidR="00D92DE1" w:rsidRPr="00731C9A">
        <w:rPr>
          <w:rFonts w:ascii="Simplified Arabic" w:hAnsi="Simplified Arabic" w:cs="Simplified Arabic"/>
          <w:color w:val="000000"/>
          <w:sz w:val="26"/>
          <w:szCs w:val="26"/>
          <w:rtl/>
          <w:lang w:eastAsia="en-US"/>
        </w:rPr>
        <w:t xml:space="preserve"> </w:t>
      </w:r>
      <w:r w:rsidR="00873D0B" w:rsidRPr="00731C9A">
        <w:rPr>
          <w:rFonts w:ascii="Simplified Arabic" w:hAnsi="Simplified Arabic" w:cs="Simplified Arabic"/>
          <w:color w:val="000000"/>
          <w:sz w:val="26"/>
          <w:szCs w:val="26"/>
          <w:rtl/>
          <w:lang w:eastAsia="en-US"/>
        </w:rPr>
        <w:t>مستوى</w:t>
      </w:r>
      <w:r w:rsidR="00D92DE1" w:rsidRPr="00731C9A">
        <w:rPr>
          <w:rFonts w:ascii="Simplified Arabic" w:hAnsi="Simplified Arabic" w:cs="Simplified Arabic"/>
          <w:color w:val="000000"/>
          <w:sz w:val="26"/>
          <w:szCs w:val="26"/>
          <w:rtl/>
          <w:lang w:eastAsia="en-US"/>
        </w:rPr>
        <w:t xml:space="preserve"> </w:t>
      </w:r>
      <w:r w:rsidR="00873D0B" w:rsidRPr="00731C9A">
        <w:rPr>
          <w:rFonts w:ascii="Simplified Arabic" w:hAnsi="Simplified Arabic" w:cs="Simplified Arabic"/>
          <w:color w:val="000000"/>
          <w:sz w:val="26"/>
          <w:szCs w:val="26"/>
          <w:rtl/>
          <w:lang w:eastAsia="en-US"/>
        </w:rPr>
        <w:t>الجنس</w:t>
      </w:r>
      <w:r w:rsidR="001055D6" w:rsidRPr="00731C9A">
        <w:rPr>
          <w:rFonts w:ascii="Simplified Arabic" w:hAnsi="Simplified Arabic" w:cs="Simplified Arabic"/>
          <w:color w:val="000000"/>
          <w:sz w:val="26"/>
          <w:szCs w:val="26"/>
          <w:rtl/>
          <w:lang w:eastAsia="en-US"/>
        </w:rPr>
        <w:t>،</w:t>
      </w:r>
      <w:r w:rsidR="00D92DE1" w:rsidRPr="00731C9A">
        <w:rPr>
          <w:rFonts w:ascii="Simplified Arabic" w:hAnsi="Simplified Arabic" w:cs="Simplified Arabic"/>
          <w:color w:val="000000"/>
          <w:sz w:val="26"/>
          <w:szCs w:val="26"/>
          <w:rtl/>
          <w:lang w:eastAsia="en-US"/>
        </w:rPr>
        <w:t xml:space="preserve"> </w:t>
      </w:r>
      <w:r w:rsidR="00873D0B" w:rsidRPr="00731C9A">
        <w:rPr>
          <w:rFonts w:ascii="Simplified Arabic" w:hAnsi="Simplified Arabic" w:cs="Simplified Arabic"/>
          <w:color w:val="000000"/>
          <w:sz w:val="26"/>
          <w:szCs w:val="26"/>
          <w:rtl/>
          <w:lang w:eastAsia="en-US"/>
        </w:rPr>
        <w:t>فقد</w:t>
      </w:r>
      <w:r w:rsidR="00D92DE1" w:rsidRPr="00731C9A">
        <w:rPr>
          <w:rFonts w:ascii="Simplified Arabic" w:hAnsi="Simplified Arabic" w:cs="Simplified Arabic"/>
          <w:color w:val="000000"/>
          <w:sz w:val="26"/>
          <w:szCs w:val="26"/>
          <w:rtl/>
          <w:lang w:eastAsia="en-US"/>
        </w:rPr>
        <w:t xml:space="preserve"> </w:t>
      </w:r>
      <w:r w:rsidR="00873D0B" w:rsidRPr="00731C9A">
        <w:rPr>
          <w:rFonts w:ascii="Simplified Arabic" w:hAnsi="Simplified Arabic" w:cs="Simplified Arabic"/>
          <w:sz w:val="26"/>
          <w:szCs w:val="26"/>
          <w:rtl/>
        </w:rPr>
        <w:t>بلغ</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معدل</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البطالة</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للذكور</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31.7</w:t>
      </w:r>
      <w:r w:rsidR="001055D6"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مقابل</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30.1</w:t>
      </w:r>
      <w:r w:rsidR="001055D6"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للإناث</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5D6D9B" w:rsidRPr="00731C9A">
        <w:rPr>
          <w:rFonts w:ascii="Simplified Arabic" w:hAnsi="Simplified Arabic" w:cs="Simplified Arabic"/>
          <w:sz w:val="26"/>
          <w:szCs w:val="26"/>
          <w:rtl/>
        </w:rPr>
        <w:t>العام</w:t>
      </w:r>
      <w:r w:rsidR="00D92DE1" w:rsidRPr="00731C9A">
        <w:rPr>
          <w:rFonts w:ascii="Simplified Arabic" w:hAnsi="Simplified Arabic" w:cs="Simplified Arabic"/>
          <w:sz w:val="26"/>
          <w:szCs w:val="26"/>
          <w:rtl/>
        </w:rPr>
        <w:t xml:space="preserve"> </w:t>
      </w:r>
      <w:r w:rsidR="00873D0B" w:rsidRPr="00731C9A">
        <w:rPr>
          <w:rFonts w:ascii="Simplified Arabic" w:hAnsi="Simplified Arabic" w:cs="Simplified Arabic"/>
          <w:sz w:val="26"/>
          <w:szCs w:val="26"/>
          <w:rtl/>
        </w:rPr>
        <w:t>202</w:t>
      </w:r>
      <w:r w:rsidR="005D6D9B" w:rsidRPr="00731C9A">
        <w:rPr>
          <w:rFonts w:ascii="Simplified Arabic" w:hAnsi="Simplified Arabic" w:cs="Simplified Arabic"/>
          <w:sz w:val="26"/>
          <w:szCs w:val="26"/>
          <w:rtl/>
        </w:rPr>
        <w:t>4</w:t>
      </w:r>
      <w:r w:rsidR="00873D0B" w:rsidRPr="00731C9A">
        <w:rPr>
          <w:rFonts w:ascii="Simplified Arabic" w:hAnsi="Simplified Arabic" w:cs="Simplified Arabic"/>
          <w:sz w:val="26"/>
          <w:szCs w:val="26"/>
          <w:rtl/>
        </w:rPr>
        <w:t>.</w:t>
      </w:r>
    </w:p>
    <w:p w:rsidR="007D1971" w:rsidRPr="00731C9A" w:rsidRDefault="007D1971" w:rsidP="001055D6">
      <w:pPr>
        <w:widowControl w:val="0"/>
        <w:jc w:val="lowKashida"/>
        <w:rPr>
          <w:rFonts w:ascii="Simplified Arabic" w:hAnsi="Simplified Arabic" w:cs="Simplified Arabic"/>
          <w:color w:val="000000"/>
          <w:sz w:val="16"/>
          <w:szCs w:val="16"/>
        </w:rPr>
      </w:pPr>
    </w:p>
    <w:p w:rsidR="00686F45" w:rsidRPr="00686F45" w:rsidRDefault="00686F45" w:rsidP="00C85D4A">
      <w:pPr>
        <w:jc w:val="center"/>
        <w:rPr>
          <w:rFonts w:eastAsia="Arial Unicode MS" w:cs="Simplified Arabic"/>
          <w:b/>
          <w:bCs/>
          <w:color w:val="000000"/>
          <w:sz w:val="2"/>
          <w:szCs w:val="2"/>
          <w:rtl/>
        </w:rPr>
      </w:pPr>
    </w:p>
    <w:p w:rsidR="00664224" w:rsidRPr="00731C9A" w:rsidRDefault="00664224" w:rsidP="00FF6506">
      <w:pPr>
        <w:jc w:val="center"/>
        <w:rPr>
          <w:rFonts w:eastAsia="Arial Unicode MS" w:cs="Simplified Arabic"/>
          <w:b/>
          <w:bCs/>
          <w:color w:val="000000"/>
          <w:sz w:val="28"/>
          <w:szCs w:val="28"/>
          <w:rtl/>
        </w:rPr>
      </w:pPr>
      <w:r w:rsidRPr="00731C9A">
        <w:rPr>
          <w:rFonts w:eastAsia="Arial Unicode MS" w:cs="Simplified Arabic" w:hint="cs"/>
          <w:b/>
          <w:bCs/>
          <w:color w:val="000000"/>
          <w:sz w:val="28"/>
          <w:szCs w:val="28"/>
          <w:rtl/>
        </w:rPr>
        <w:t>معدل</w:t>
      </w:r>
      <w:r w:rsidR="00D92DE1" w:rsidRPr="00731C9A">
        <w:rPr>
          <w:rFonts w:eastAsia="Arial Unicode MS" w:cs="Simplified Arabic"/>
          <w:b/>
          <w:bCs/>
          <w:color w:val="000000"/>
          <w:sz w:val="28"/>
          <w:szCs w:val="28"/>
          <w:rtl/>
        </w:rPr>
        <w:t xml:space="preserve"> </w:t>
      </w:r>
      <w:r w:rsidRPr="00731C9A">
        <w:rPr>
          <w:rFonts w:eastAsia="Arial Unicode MS" w:cs="Simplified Arabic"/>
          <w:b/>
          <w:bCs/>
          <w:color w:val="000000"/>
          <w:sz w:val="28"/>
          <w:szCs w:val="28"/>
          <w:rtl/>
        </w:rPr>
        <w:t>البطالة</w:t>
      </w:r>
      <w:r w:rsidR="00D92DE1" w:rsidRPr="00731C9A">
        <w:rPr>
          <w:rFonts w:eastAsia="Arial Unicode MS" w:cs="Simplified Arabic" w:hint="cs"/>
          <w:b/>
          <w:bCs/>
          <w:color w:val="000000"/>
          <w:sz w:val="28"/>
          <w:szCs w:val="28"/>
          <w:rtl/>
        </w:rPr>
        <w:t xml:space="preserve"> </w:t>
      </w:r>
      <w:r w:rsidR="00555922" w:rsidRPr="00731C9A">
        <w:rPr>
          <w:rFonts w:eastAsia="Arial Unicode MS" w:cs="Simplified Arabic" w:hint="cs"/>
          <w:b/>
          <w:bCs/>
          <w:color w:val="000000"/>
          <w:sz w:val="28"/>
          <w:szCs w:val="28"/>
          <w:rtl/>
        </w:rPr>
        <w:t>ب</w:t>
      </w:r>
      <w:r w:rsidRPr="00731C9A">
        <w:rPr>
          <w:rFonts w:eastAsia="Arial Unicode MS" w:cs="Simplified Arabic" w:hint="cs"/>
          <w:b/>
          <w:bCs/>
          <w:color w:val="000000"/>
          <w:sz w:val="28"/>
          <w:szCs w:val="28"/>
          <w:rtl/>
        </w:rPr>
        <w:t>ين</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المشاركين</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في</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القوى</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العاملة</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15</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سنة</w:t>
      </w:r>
      <w:r w:rsidR="00D92DE1" w:rsidRPr="00731C9A">
        <w:rPr>
          <w:rFonts w:eastAsia="Arial Unicode MS" w:cs="Simplified Arabic" w:hint="cs"/>
          <w:b/>
          <w:bCs/>
          <w:color w:val="000000"/>
          <w:sz w:val="28"/>
          <w:szCs w:val="28"/>
          <w:rtl/>
        </w:rPr>
        <w:t xml:space="preserve"> </w:t>
      </w:r>
      <w:r w:rsidRPr="00731C9A">
        <w:rPr>
          <w:rFonts w:eastAsia="Arial Unicode MS" w:cs="Simplified Arabic" w:hint="cs"/>
          <w:b/>
          <w:bCs/>
          <w:color w:val="000000"/>
          <w:sz w:val="28"/>
          <w:szCs w:val="28"/>
          <w:rtl/>
        </w:rPr>
        <w:t>فأكثر</w:t>
      </w:r>
      <w:r w:rsidR="00D92DE1" w:rsidRPr="00731C9A">
        <w:rPr>
          <w:rFonts w:eastAsia="Arial Unicode MS" w:cs="Simplified Arabic"/>
          <w:b/>
          <w:bCs/>
          <w:color w:val="000000"/>
          <w:sz w:val="28"/>
          <w:szCs w:val="28"/>
          <w:rtl/>
        </w:rPr>
        <w:t xml:space="preserve"> </w:t>
      </w:r>
      <w:r w:rsidR="00BF7C88" w:rsidRPr="00731C9A">
        <w:rPr>
          <w:rFonts w:eastAsia="Arial Unicode MS" w:cs="Simplified Arabic" w:hint="cs"/>
          <w:b/>
          <w:bCs/>
          <w:color w:val="000000"/>
          <w:sz w:val="28"/>
          <w:szCs w:val="28"/>
          <w:rtl/>
        </w:rPr>
        <w:t>في</w:t>
      </w:r>
      <w:r w:rsidR="00D92DE1" w:rsidRPr="00731C9A">
        <w:rPr>
          <w:rFonts w:eastAsia="Arial Unicode MS" w:cs="Simplified Arabic" w:hint="cs"/>
          <w:b/>
          <w:bCs/>
          <w:color w:val="000000"/>
          <w:sz w:val="28"/>
          <w:szCs w:val="28"/>
          <w:rtl/>
        </w:rPr>
        <w:t xml:space="preserve"> </w:t>
      </w:r>
      <w:r w:rsidR="00BF7C88" w:rsidRPr="00731C9A">
        <w:rPr>
          <w:rFonts w:eastAsia="Arial Unicode MS" w:cs="Simplified Arabic" w:hint="cs"/>
          <w:b/>
          <w:bCs/>
          <w:color w:val="000000"/>
          <w:sz w:val="28"/>
          <w:szCs w:val="28"/>
          <w:rtl/>
        </w:rPr>
        <w:t>الضفة</w:t>
      </w:r>
      <w:r w:rsidR="00D92DE1" w:rsidRPr="00731C9A">
        <w:rPr>
          <w:rFonts w:eastAsia="Arial Unicode MS" w:cs="Simplified Arabic" w:hint="cs"/>
          <w:b/>
          <w:bCs/>
          <w:color w:val="000000"/>
          <w:sz w:val="28"/>
          <w:szCs w:val="28"/>
          <w:rtl/>
        </w:rPr>
        <w:t xml:space="preserve"> </w:t>
      </w:r>
      <w:r w:rsidR="00605A7F" w:rsidRPr="00731C9A">
        <w:rPr>
          <w:rFonts w:eastAsia="Arial Unicode MS" w:cs="Simplified Arabic" w:hint="cs"/>
          <w:b/>
          <w:bCs/>
          <w:color w:val="000000"/>
          <w:sz w:val="28"/>
          <w:szCs w:val="28"/>
          <w:rtl/>
        </w:rPr>
        <w:t>العربية</w:t>
      </w:r>
      <w:r w:rsidRPr="00731C9A">
        <w:rPr>
          <w:rFonts w:eastAsia="Arial Unicode MS" w:cs="Simplified Arabic" w:hint="cs"/>
          <w:b/>
          <w:bCs/>
          <w:color w:val="000000"/>
          <w:sz w:val="28"/>
          <w:szCs w:val="28"/>
          <w:rtl/>
        </w:rPr>
        <w:t>،</w:t>
      </w:r>
      <w:r w:rsidR="00D92DE1" w:rsidRPr="00731C9A">
        <w:rPr>
          <w:rFonts w:eastAsia="Arial Unicode MS" w:cs="Simplified Arabic" w:hint="cs"/>
          <w:b/>
          <w:bCs/>
          <w:color w:val="000000"/>
          <w:sz w:val="28"/>
          <w:szCs w:val="28"/>
          <w:rtl/>
        </w:rPr>
        <w:t xml:space="preserve"> </w:t>
      </w:r>
      <w:r w:rsidR="00FF6506" w:rsidRPr="00731C9A">
        <w:rPr>
          <w:rFonts w:eastAsia="Arial Unicode MS" w:cs="Simplified Arabic" w:hint="cs"/>
          <w:b/>
          <w:bCs/>
          <w:color w:val="000000"/>
          <w:sz w:val="28"/>
          <w:szCs w:val="28"/>
          <w:rtl/>
        </w:rPr>
        <w:t>2015-2024</w:t>
      </w:r>
    </w:p>
    <w:p w:rsidR="00140BE6" w:rsidRPr="00686F45" w:rsidRDefault="00140BE6" w:rsidP="003974DE">
      <w:pPr>
        <w:jc w:val="lowKashida"/>
        <w:rPr>
          <w:rFonts w:eastAsia="Arial Unicode MS" w:cs="Simplified Arabic"/>
          <w:b/>
          <w:bCs/>
          <w:color w:val="000000"/>
          <w:sz w:val="2"/>
          <w:szCs w:val="2"/>
          <w:rtl/>
        </w:rPr>
      </w:pPr>
    </w:p>
    <w:p w:rsidR="00140BE6" w:rsidRDefault="00140BE6" w:rsidP="003974DE">
      <w:pPr>
        <w:jc w:val="lowKashida"/>
        <w:rPr>
          <w:rFonts w:eastAsia="Arial Unicode MS" w:cs="Simplified Arabic"/>
          <w:b/>
          <w:bCs/>
          <w:color w:val="000000"/>
          <w:sz w:val="2"/>
          <w:szCs w:val="2"/>
          <w:rtl/>
        </w:rPr>
      </w:pPr>
    </w:p>
    <w:p w:rsidR="00DB43D8" w:rsidRPr="00686F45" w:rsidRDefault="00DB43D8" w:rsidP="003974DE">
      <w:pPr>
        <w:jc w:val="lowKashida"/>
        <w:rPr>
          <w:rFonts w:eastAsia="Arial Unicode MS" w:cs="Simplified Arabic"/>
          <w:b/>
          <w:bCs/>
          <w:color w:val="000000"/>
          <w:sz w:val="2"/>
          <w:szCs w:val="2"/>
          <w:rtl/>
        </w:rPr>
      </w:pPr>
    </w:p>
    <w:p w:rsidR="007D7E56" w:rsidRPr="00401398" w:rsidRDefault="007D7E56" w:rsidP="007D7E56">
      <w:pPr>
        <w:jc w:val="both"/>
        <w:rPr>
          <w:rFonts w:eastAsia="Arial Unicode MS" w:cs="Simplified Arabic"/>
          <w:b/>
          <w:bCs/>
          <w:color w:val="000000"/>
          <w:sz w:val="2"/>
          <w:szCs w:val="2"/>
          <w:rtl/>
        </w:rPr>
      </w:pPr>
    </w:p>
    <w:p w:rsidR="008516A8" w:rsidRPr="00543C48" w:rsidRDefault="003F665D" w:rsidP="00731C9A">
      <w:pPr>
        <w:pStyle w:val="NoSpacing"/>
        <w:jc w:val="center"/>
        <w:rPr>
          <w:rFonts w:ascii="Simplified Arabic" w:hAnsi="Simplified Arabic" w:cs="Simplified Arabic"/>
          <w:b/>
          <w:bCs/>
          <w:sz w:val="18"/>
          <w:szCs w:val="18"/>
        </w:rPr>
      </w:pPr>
      <w:r w:rsidRPr="006251EB">
        <w:rPr>
          <w:rFonts w:cs="Simplified Arabic"/>
          <w:b/>
          <w:bCs/>
          <w:noProof/>
          <w:sz w:val="10"/>
          <w:szCs w:val="10"/>
          <w:lang w:eastAsia="en-US"/>
        </w:rPr>
        <w:drawing>
          <wp:inline distT="0" distB="0" distL="0" distR="0">
            <wp:extent cx="3067050" cy="1571625"/>
            <wp:effectExtent l="0" t="0" r="0" b="9525"/>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55D6" w:rsidRPr="00BF4A21" w:rsidRDefault="001055D6" w:rsidP="001055D6">
      <w:pPr>
        <w:widowControl w:val="0"/>
        <w:jc w:val="lowKashida"/>
        <w:rPr>
          <w:rFonts w:ascii="Simplified Arabic" w:hAnsi="Simplified Arabic" w:cs="Simplified Arabic"/>
          <w:color w:val="000000"/>
          <w:sz w:val="16"/>
          <w:szCs w:val="16"/>
          <w:rtl/>
        </w:rPr>
      </w:pPr>
    </w:p>
    <w:p w:rsidR="008516A8" w:rsidRPr="00731C9A" w:rsidRDefault="00D773BD" w:rsidP="00E414DE">
      <w:pPr>
        <w:pStyle w:val="NoSpacing"/>
        <w:jc w:val="both"/>
        <w:rPr>
          <w:rFonts w:ascii="Simplified Arabic" w:hAnsi="Simplified Arabic" w:cs="Simplified Arabic"/>
          <w:b/>
          <w:bCs/>
          <w:sz w:val="28"/>
          <w:szCs w:val="28"/>
          <w:rtl/>
        </w:rPr>
      </w:pPr>
      <w:r w:rsidRPr="00731C9A">
        <w:rPr>
          <w:rFonts w:ascii="Simplified Arabic" w:hAnsi="Simplified Arabic" w:cs="Simplified Arabic" w:hint="cs"/>
          <w:b/>
          <w:bCs/>
          <w:sz w:val="28"/>
          <w:szCs w:val="28"/>
          <w:rtl/>
        </w:rPr>
        <w:t>انخفاض</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عدد</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العاملين</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من</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الضفة</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الغربية</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بحوالي</w:t>
      </w:r>
      <w:r w:rsidR="00D92DE1" w:rsidRPr="00731C9A">
        <w:rPr>
          <w:rFonts w:ascii="Simplified Arabic" w:hAnsi="Simplified Arabic" w:cs="Simplified Arabic" w:hint="cs"/>
          <w:b/>
          <w:bCs/>
          <w:sz w:val="28"/>
          <w:szCs w:val="28"/>
          <w:rtl/>
        </w:rPr>
        <w:t xml:space="preserve"> </w:t>
      </w:r>
      <w:r w:rsidR="00E414DE" w:rsidRPr="00731C9A">
        <w:rPr>
          <w:rFonts w:ascii="Simplified Arabic" w:hAnsi="Simplified Arabic" w:cs="Simplified Arabic" w:hint="cs"/>
          <w:b/>
          <w:bCs/>
          <w:sz w:val="28"/>
          <w:szCs w:val="28"/>
          <w:rtl/>
        </w:rPr>
        <w:t>132</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ألف</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عامل</w:t>
      </w:r>
      <w:r w:rsidR="00D92DE1" w:rsidRPr="00731C9A">
        <w:rPr>
          <w:rFonts w:ascii="Simplified Arabic" w:hAnsi="Simplified Arabic" w:cs="Simplified Arabic" w:hint="cs"/>
          <w:b/>
          <w:bCs/>
          <w:sz w:val="28"/>
          <w:szCs w:val="28"/>
          <w:rtl/>
        </w:rPr>
        <w:t xml:space="preserve"> </w:t>
      </w:r>
      <w:r w:rsidR="00E414DE" w:rsidRPr="00731C9A">
        <w:rPr>
          <w:rFonts w:ascii="Simplified Arabic" w:hAnsi="Simplified Arabic" w:cs="Simplified Arabic" w:hint="cs"/>
          <w:b/>
          <w:bCs/>
          <w:sz w:val="28"/>
          <w:szCs w:val="28"/>
          <w:rtl/>
        </w:rPr>
        <w:t>بين</w:t>
      </w:r>
      <w:r w:rsidR="00D92DE1" w:rsidRPr="00731C9A">
        <w:rPr>
          <w:rFonts w:ascii="Simplified Arabic" w:hAnsi="Simplified Arabic" w:cs="Simplified Arabic" w:hint="cs"/>
          <w:b/>
          <w:bCs/>
          <w:sz w:val="28"/>
          <w:szCs w:val="28"/>
          <w:rtl/>
        </w:rPr>
        <w:t xml:space="preserve"> </w:t>
      </w:r>
      <w:r w:rsidR="001055D6" w:rsidRPr="00731C9A">
        <w:rPr>
          <w:rFonts w:ascii="Simplified Arabic" w:hAnsi="Simplified Arabic" w:cs="Simplified Arabic" w:hint="cs"/>
          <w:b/>
          <w:bCs/>
          <w:sz w:val="28"/>
          <w:szCs w:val="28"/>
          <w:rtl/>
        </w:rPr>
        <w:t>ال</w:t>
      </w:r>
      <w:r w:rsidR="00E414DE" w:rsidRPr="00731C9A">
        <w:rPr>
          <w:rFonts w:ascii="Simplified Arabic" w:hAnsi="Simplified Arabic" w:cs="Simplified Arabic" w:hint="cs"/>
          <w:b/>
          <w:bCs/>
          <w:sz w:val="28"/>
          <w:szCs w:val="28"/>
          <w:rtl/>
        </w:rPr>
        <w:t>عامي</w:t>
      </w:r>
      <w:r w:rsidR="001055D6" w:rsidRPr="00731C9A">
        <w:rPr>
          <w:rFonts w:ascii="Simplified Arabic" w:hAnsi="Simplified Arabic" w:cs="Simplified Arabic" w:hint="cs"/>
          <w:b/>
          <w:bCs/>
          <w:sz w:val="28"/>
          <w:szCs w:val="28"/>
          <w:rtl/>
        </w:rPr>
        <w:t>ن</w:t>
      </w:r>
      <w:r w:rsidR="00D92DE1" w:rsidRPr="00731C9A">
        <w:rPr>
          <w:rFonts w:ascii="Simplified Arabic" w:hAnsi="Simplified Arabic" w:cs="Simplified Arabic" w:hint="cs"/>
          <w:b/>
          <w:bCs/>
          <w:sz w:val="28"/>
          <w:szCs w:val="28"/>
          <w:rtl/>
        </w:rPr>
        <w:t xml:space="preserve"> </w:t>
      </w:r>
      <w:r w:rsidRPr="00731C9A">
        <w:rPr>
          <w:rFonts w:ascii="Simplified Arabic" w:hAnsi="Simplified Arabic" w:cs="Simplified Arabic" w:hint="cs"/>
          <w:b/>
          <w:bCs/>
          <w:sz w:val="28"/>
          <w:szCs w:val="28"/>
          <w:rtl/>
        </w:rPr>
        <w:t>2023</w:t>
      </w:r>
      <w:r w:rsidR="00D92DE1" w:rsidRPr="00731C9A">
        <w:rPr>
          <w:rFonts w:ascii="Simplified Arabic" w:hAnsi="Simplified Arabic" w:cs="Simplified Arabic" w:hint="cs"/>
          <w:b/>
          <w:bCs/>
          <w:sz w:val="28"/>
          <w:szCs w:val="28"/>
          <w:rtl/>
        </w:rPr>
        <w:t xml:space="preserve"> </w:t>
      </w:r>
      <w:r w:rsidR="00E414DE" w:rsidRPr="00731C9A">
        <w:rPr>
          <w:rFonts w:ascii="Simplified Arabic" w:hAnsi="Simplified Arabic" w:cs="Simplified Arabic" w:hint="cs"/>
          <w:b/>
          <w:bCs/>
          <w:sz w:val="28"/>
          <w:szCs w:val="28"/>
          <w:rtl/>
        </w:rPr>
        <w:t>و2024</w:t>
      </w:r>
    </w:p>
    <w:p w:rsidR="00D773BD" w:rsidRPr="00731C9A" w:rsidRDefault="00D773BD" w:rsidP="004F72A9">
      <w:pPr>
        <w:tabs>
          <w:tab w:val="num" w:pos="720"/>
        </w:tabs>
        <w:ind w:left="-1"/>
        <w:jc w:val="lowKashida"/>
        <w:rPr>
          <w:rFonts w:ascii="Simplified Arabic" w:hAnsi="Simplified Arabic" w:cs="Simplified Arabic"/>
          <w:color w:val="000000"/>
          <w:sz w:val="26"/>
          <w:szCs w:val="26"/>
          <w:rtl/>
          <w:lang w:eastAsia="en-US"/>
        </w:rPr>
      </w:pPr>
      <w:r w:rsidRPr="00731C9A">
        <w:rPr>
          <w:rFonts w:ascii="Simplified Arabic" w:hAnsi="Simplified Arabic" w:cs="Simplified Arabic"/>
          <w:sz w:val="26"/>
          <w:szCs w:val="26"/>
          <w:rtl/>
        </w:rPr>
        <w:t>انخفض</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عدد</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العاملين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(لا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يشمل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العاملين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الخارج)</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4F72A9" w:rsidRPr="00731C9A">
        <w:rPr>
          <w:rFonts w:ascii="Simplified Arabic" w:hAnsi="Simplified Arabic" w:cs="Simplified Arabic"/>
          <w:sz w:val="26"/>
          <w:szCs w:val="26"/>
          <w:rtl/>
        </w:rPr>
        <w:t>815</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عامل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ال</w:t>
      </w:r>
      <w:r w:rsidR="004F72A9" w:rsidRPr="00731C9A">
        <w:rPr>
          <w:rFonts w:ascii="Simplified Arabic" w:hAnsi="Simplified Arabic" w:cs="Simplified Arabic"/>
          <w:sz w:val="26"/>
          <w:szCs w:val="26"/>
          <w:rtl/>
        </w:rPr>
        <w:t>عام</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2023</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 xml:space="preserve">إلى </w:t>
      </w: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6</w:t>
      </w:r>
      <w:r w:rsidR="004F72A9" w:rsidRPr="00731C9A">
        <w:rPr>
          <w:rFonts w:ascii="Simplified Arabic" w:hAnsi="Simplified Arabic" w:cs="Simplified Arabic"/>
          <w:sz w:val="26"/>
          <w:szCs w:val="26"/>
          <w:rtl/>
        </w:rPr>
        <w:t>81</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عامل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ال</w:t>
      </w:r>
      <w:r w:rsidR="004F72A9" w:rsidRPr="00731C9A">
        <w:rPr>
          <w:rFonts w:ascii="Simplified Arabic" w:hAnsi="Simplified Arabic" w:cs="Simplified Arabic"/>
          <w:sz w:val="26"/>
          <w:szCs w:val="26"/>
          <w:rtl/>
        </w:rPr>
        <w:t>عام</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202</w:t>
      </w:r>
      <w:r w:rsidR="004F72A9" w:rsidRPr="00731C9A">
        <w:rPr>
          <w:rFonts w:ascii="Simplified Arabic" w:hAnsi="Simplified Arabic" w:cs="Simplified Arabic"/>
          <w:sz w:val="26"/>
          <w:szCs w:val="26"/>
          <w:rtl/>
        </w:rPr>
        <w:t>4</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 xml:space="preserve">أي ما نسبته </w:t>
      </w:r>
      <w:r w:rsidR="004F72A9" w:rsidRPr="00731C9A">
        <w:rPr>
          <w:rFonts w:ascii="Simplified Arabic" w:hAnsi="Simplified Arabic" w:cs="Simplified Arabic"/>
          <w:sz w:val="26"/>
          <w:szCs w:val="26"/>
          <w:rtl/>
        </w:rPr>
        <w:t>20</w:t>
      </w:r>
      <w:r w:rsidR="00236B93" w:rsidRPr="00731C9A">
        <w:rPr>
          <w:rFonts w:ascii="Simplified Arabic" w:hAnsi="Simplified Arabic" w:cs="Simplified Arabic"/>
          <w:sz w:val="26"/>
          <w:szCs w:val="26"/>
          <w:rtl/>
        </w:rPr>
        <w:t>%.</w:t>
      </w:r>
    </w:p>
    <w:p w:rsidR="001055D6" w:rsidRPr="00731C9A" w:rsidRDefault="001055D6" w:rsidP="001055D6">
      <w:pPr>
        <w:widowControl w:val="0"/>
        <w:jc w:val="lowKashida"/>
        <w:rPr>
          <w:rFonts w:ascii="Simplified Arabic" w:hAnsi="Simplified Arabic" w:cs="Simplified Arabic"/>
          <w:color w:val="000000"/>
          <w:sz w:val="16"/>
          <w:szCs w:val="16"/>
          <w:rtl/>
        </w:rPr>
      </w:pPr>
    </w:p>
    <w:p w:rsidR="00D773BD" w:rsidRPr="00731C9A" w:rsidRDefault="00D773BD" w:rsidP="00EB1F27">
      <w:pPr>
        <w:pStyle w:val="BodyText"/>
        <w:rPr>
          <w:rFonts w:ascii="Simplified Arabic" w:hAnsi="Simplified Arabic" w:cs="Simplified Arabic"/>
          <w:color w:val="FF0000"/>
          <w:sz w:val="26"/>
          <w:szCs w:val="26"/>
          <w:rtl/>
          <w:lang w:eastAsia="en-US" w:bidi="ar-JO"/>
        </w:rPr>
      </w:pPr>
      <w:r w:rsidRPr="00731C9A">
        <w:rPr>
          <w:rFonts w:ascii="Simplified Arabic" w:hAnsi="Simplified Arabic" w:cs="Simplified Arabic"/>
          <w:color w:val="000000"/>
          <w:sz w:val="26"/>
          <w:szCs w:val="26"/>
          <w:rtl/>
          <w:lang w:eastAsia="en-US" w:bidi="ar-JO"/>
        </w:rPr>
        <w:t>انخفض</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عدد</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العاملين</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من</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الضفة</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الغربية</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إسرائيل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بشكل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كبير</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جدا</w:t>
      </w:r>
      <w:r w:rsidR="001055D6" w:rsidRPr="00731C9A">
        <w:rPr>
          <w:rFonts w:ascii="Simplified Arabic" w:hAnsi="Simplified Arabic" w:cs="Simplified Arabic"/>
          <w:color w:val="000000"/>
          <w:sz w:val="26"/>
          <w:szCs w:val="26"/>
          <w:rtl/>
          <w:lang w:eastAsia="en-US" w:bidi="ar-JO"/>
        </w:rPr>
        <w:t>ً</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sz w:val="26"/>
          <w:szCs w:val="26"/>
          <w:rtl/>
        </w:rPr>
        <w:t>ما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بين</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ال</w:t>
      </w:r>
      <w:r w:rsidR="005D68C2" w:rsidRPr="00731C9A">
        <w:rPr>
          <w:rFonts w:ascii="Simplified Arabic" w:hAnsi="Simplified Arabic" w:cs="Simplified Arabic"/>
          <w:sz w:val="26"/>
          <w:szCs w:val="26"/>
          <w:rtl/>
        </w:rPr>
        <w:t>عام</w:t>
      </w:r>
      <w:r w:rsidR="001055D6" w:rsidRPr="00731C9A">
        <w:rPr>
          <w:rFonts w:ascii="Simplified Arabic" w:hAnsi="Simplified Arabic" w:cs="Simplified Arabic"/>
          <w:sz w:val="26"/>
          <w:szCs w:val="26"/>
          <w:rtl/>
        </w:rPr>
        <w:t>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2023</w:t>
      </w:r>
      <w:r w:rsidR="00D92DE1" w:rsidRPr="00731C9A">
        <w:rPr>
          <w:rFonts w:ascii="Simplified Arabic" w:hAnsi="Simplified Arabic" w:cs="Simplified Arabic"/>
          <w:sz w:val="26"/>
          <w:szCs w:val="26"/>
          <w:rtl/>
        </w:rPr>
        <w:t xml:space="preserve"> </w:t>
      </w:r>
      <w:r w:rsidR="005D68C2" w:rsidRPr="00731C9A">
        <w:rPr>
          <w:rFonts w:ascii="Simplified Arabic" w:hAnsi="Simplified Arabic" w:cs="Simplified Arabic"/>
          <w:sz w:val="26"/>
          <w:szCs w:val="26"/>
          <w:rtl/>
        </w:rPr>
        <w:t>و2024</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color w:val="000000"/>
          <w:sz w:val="26"/>
          <w:szCs w:val="26"/>
          <w:rtl/>
          <w:lang w:eastAsia="en-US" w:bidi="ar-JO"/>
        </w:rPr>
        <w:t>بحوالي</w:t>
      </w:r>
      <w:r w:rsidR="00D92DE1" w:rsidRPr="00731C9A">
        <w:rPr>
          <w:rFonts w:ascii="Simplified Arabic" w:hAnsi="Simplified Arabic" w:cs="Simplified Arabic"/>
          <w:color w:val="000000"/>
          <w:sz w:val="26"/>
          <w:szCs w:val="26"/>
          <w:rtl/>
          <w:lang w:eastAsia="en-US" w:bidi="ar-JO"/>
        </w:rPr>
        <w:t xml:space="preserve"> </w:t>
      </w:r>
      <w:r w:rsidR="00EB1F27" w:rsidRPr="00731C9A">
        <w:rPr>
          <w:rFonts w:ascii="Simplified Arabic" w:hAnsi="Simplified Arabic" w:cs="Simplified Arabic"/>
          <w:color w:val="000000"/>
          <w:sz w:val="26"/>
          <w:szCs w:val="26"/>
          <w:rtl/>
          <w:lang w:eastAsia="en-US" w:bidi="ar-JO"/>
        </w:rPr>
        <w:t>85</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ألف</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عامل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نتيجة</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الإغلاقات</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المشددة</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التي</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فرضها</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الاحتلال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عقب</w:t>
      </w:r>
      <w:r w:rsidR="00D92DE1" w:rsidRPr="00731C9A">
        <w:rPr>
          <w:rFonts w:ascii="Simplified Arabic" w:hAnsi="Simplified Arabic" w:cs="Simplified Arabic"/>
          <w:color w:val="000000"/>
          <w:sz w:val="26"/>
          <w:szCs w:val="26"/>
          <w:rtl/>
          <w:lang w:eastAsia="en-US" w:bidi="ar-JO"/>
        </w:rPr>
        <w:t xml:space="preserve"> </w:t>
      </w:r>
      <w:r w:rsidR="00B4327B" w:rsidRPr="00731C9A">
        <w:rPr>
          <w:rFonts w:ascii="Simplified Arabic" w:hAnsi="Simplified Arabic" w:cs="Simplified Arabic"/>
          <w:color w:val="000000"/>
          <w:sz w:val="26"/>
          <w:szCs w:val="26"/>
          <w:rtl/>
          <w:lang w:eastAsia="en-US" w:bidi="ar-JO"/>
        </w:rPr>
        <w:t>العدوان</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على</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قطاع</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غزة</w:t>
      </w:r>
      <w:r w:rsidR="001055D6" w:rsidRPr="00731C9A">
        <w:rPr>
          <w:rFonts w:ascii="Simplified Arabic" w:hAnsi="Simplified Arabic" w:cs="Simplified Arabic"/>
          <w:color w:val="000000"/>
          <w:sz w:val="26"/>
          <w:szCs w:val="26"/>
          <w:rtl/>
          <w:lang w:eastAsia="en-US" w:bidi="ar-JO"/>
        </w:rPr>
        <w:t>،</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فبلغ</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العدد</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الإجمالي</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للعاملين</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إسرائيل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حوالي</w:t>
      </w:r>
      <w:r w:rsidR="00D92DE1" w:rsidRPr="00731C9A">
        <w:rPr>
          <w:rFonts w:ascii="Simplified Arabic" w:hAnsi="Simplified Arabic" w:cs="Simplified Arabic"/>
          <w:color w:val="000000"/>
          <w:sz w:val="26"/>
          <w:szCs w:val="26"/>
          <w:rtl/>
          <w:lang w:eastAsia="en-US" w:bidi="ar-JO"/>
        </w:rPr>
        <w:t xml:space="preserve"> </w:t>
      </w:r>
      <w:r w:rsidR="00EB1F27" w:rsidRPr="00731C9A">
        <w:rPr>
          <w:rFonts w:ascii="Simplified Arabic" w:hAnsi="Simplified Arabic" w:cs="Simplified Arabic"/>
          <w:color w:val="000000"/>
          <w:sz w:val="26"/>
          <w:szCs w:val="26"/>
          <w:rtl/>
          <w:lang w:eastAsia="en-US" w:bidi="ar-JO"/>
        </w:rPr>
        <w:t>21</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ألف</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عامل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ال</w:t>
      </w:r>
      <w:r w:rsidR="005D68C2" w:rsidRPr="00731C9A">
        <w:rPr>
          <w:rFonts w:ascii="Simplified Arabic" w:hAnsi="Simplified Arabic" w:cs="Simplified Arabic"/>
          <w:color w:val="000000"/>
          <w:sz w:val="26"/>
          <w:szCs w:val="26"/>
          <w:rtl/>
          <w:lang w:eastAsia="en-US" w:bidi="ar-JO"/>
        </w:rPr>
        <w:t>عام</w:t>
      </w:r>
      <w:r w:rsidR="00D92DE1" w:rsidRPr="00731C9A">
        <w:rPr>
          <w:rFonts w:ascii="Simplified Arabic" w:hAnsi="Simplified Arabic" w:cs="Simplified Arabic"/>
          <w:color w:val="000000"/>
          <w:sz w:val="26"/>
          <w:szCs w:val="26"/>
          <w:rtl/>
          <w:lang w:eastAsia="en-US" w:bidi="ar-JO"/>
        </w:rPr>
        <w:t xml:space="preserve"> </w:t>
      </w:r>
      <w:r w:rsidR="00223C73" w:rsidRPr="00731C9A">
        <w:rPr>
          <w:rFonts w:ascii="Simplified Arabic" w:hAnsi="Simplified Arabic" w:cs="Simplified Arabic"/>
          <w:color w:val="000000"/>
          <w:sz w:val="26"/>
          <w:szCs w:val="26"/>
          <w:rtl/>
          <w:lang w:eastAsia="en-US" w:bidi="ar-JO"/>
        </w:rPr>
        <w:t>2024</w:t>
      </w:r>
      <w:r w:rsidR="001055D6" w:rsidRPr="00731C9A">
        <w:rPr>
          <w:rFonts w:ascii="Simplified Arabic" w:hAnsi="Simplified Arabic" w:cs="Simplified Arabic"/>
          <w:color w:val="000000"/>
          <w:sz w:val="26"/>
          <w:szCs w:val="26"/>
          <w:rtl/>
          <w:lang w:eastAsia="en-US" w:bidi="ar-JO"/>
        </w:rPr>
        <w:t>،</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مقارنة</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مع</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حوالي</w:t>
      </w:r>
      <w:r w:rsidR="00D92DE1" w:rsidRPr="00731C9A">
        <w:rPr>
          <w:rFonts w:ascii="Simplified Arabic" w:hAnsi="Simplified Arabic" w:cs="Simplified Arabic"/>
          <w:color w:val="000000"/>
          <w:sz w:val="26"/>
          <w:szCs w:val="26"/>
          <w:rtl/>
          <w:lang w:eastAsia="en-US" w:bidi="ar-JO"/>
        </w:rPr>
        <w:t xml:space="preserve"> </w:t>
      </w:r>
      <w:r w:rsidR="00EB1F27" w:rsidRPr="00731C9A">
        <w:rPr>
          <w:rFonts w:ascii="Simplified Arabic" w:hAnsi="Simplified Arabic" w:cs="Simplified Arabic"/>
          <w:color w:val="000000"/>
          <w:sz w:val="26"/>
          <w:szCs w:val="26"/>
          <w:rtl/>
          <w:lang w:eastAsia="en-US" w:bidi="ar-JO"/>
        </w:rPr>
        <w:t>107</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 xml:space="preserve">آلاف </w:t>
      </w:r>
      <w:r w:rsidRPr="00731C9A">
        <w:rPr>
          <w:rFonts w:ascii="Simplified Arabic" w:hAnsi="Simplified Arabic" w:cs="Simplified Arabic"/>
          <w:color w:val="000000"/>
          <w:sz w:val="26"/>
          <w:szCs w:val="26"/>
          <w:rtl/>
          <w:lang w:eastAsia="en-US" w:bidi="ar-JO"/>
        </w:rPr>
        <w:t>عامل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ال</w:t>
      </w:r>
      <w:r w:rsidR="00223C73" w:rsidRPr="00731C9A">
        <w:rPr>
          <w:rFonts w:ascii="Simplified Arabic" w:hAnsi="Simplified Arabic" w:cs="Simplified Arabic"/>
          <w:color w:val="000000"/>
          <w:sz w:val="26"/>
          <w:szCs w:val="26"/>
          <w:rtl/>
          <w:lang w:eastAsia="en-US" w:bidi="ar-JO"/>
        </w:rPr>
        <w:t>عام</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2023.</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val="en-US" w:eastAsia="en-US"/>
        </w:rPr>
        <w:t>كما</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انخفض</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عدد</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العاملين</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المستعمرات</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الإسرائيلية</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من</w:t>
      </w:r>
      <w:r w:rsidR="00D92DE1" w:rsidRPr="00731C9A">
        <w:rPr>
          <w:rFonts w:ascii="Simplified Arabic" w:hAnsi="Simplified Arabic" w:cs="Simplified Arabic"/>
          <w:color w:val="000000"/>
          <w:sz w:val="26"/>
          <w:szCs w:val="26"/>
          <w:rtl/>
          <w:lang w:val="en-US" w:eastAsia="en-US" w:bidi="ar-JO"/>
        </w:rPr>
        <w:t xml:space="preserve"> </w:t>
      </w:r>
      <w:r w:rsidR="00605A7F" w:rsidRPr="00731C9A">
        <w:rPr>
          <w:rFonts w:ascii="Simplified Arabic" w:hAnsi="Simplified Arabic" w:cs="Simplified Arabic"/>
          <w:color w:val="000000"/>
          <w:sz w:val="26"/>
          <w:szCs w:val="26"/>
          <w:rtl/>
          <w:lang w:val="en-US" w:eastAsia="en-US" w:bidi="ar-JO"/>
        </w:rPr>
        <w:t>حوالي</w:t>
      </w:r>
      <w:r w:rsidR="00D92DE1" w:rsidRPr="00731C9A">
        <w:rPr>
          <w:rFonts w:ascii="Simplified Arabic" w:hAnsi="Simplified Arabic" w:cs="Simplified Arabic"/>
          <w:color w:val="000000"/>
          <w:sz w:val="26"/>
          <w:szCs w:val="26"/>
          <w:rtl/>
          <w:lang w:val="en-US" w:eastAsia="en-US" w:bidi="ar-JO"/>
        </w:rPr>
        <w:t xml:space="preserve"> </w:t>
      </w:r>
      <w:r w:rsidR="00EB1F27" w:rsidRPr="00731C9A">
        <w:rPr>
          <w:rFonts w:ascii="Simplified Arabic" w:hAnsi="Simplified Arabic" w:cs="Simplified Arabic"/>
          <w:color w:val="000000"/>
          <w:sz w:val="26"/>
          <w:szCs w:val="26"/>
          <w:rtl/>
          <w:lang w:val="en-US" w:eastAsia="en-US" w:bidi="ar-JO"/>
        </w:rPr>
        <w:t>16</w:t>
      </w:r>
      <w:r w:rsidR="00D92DE1" w:rsidRPr="00731C9A">
        <w:rPr>
          <w:rFonts w:ascii="Simplified Arabic" w:hAnsi="Simplified Arabic" w:cs="Simplified Arabic"/>
          <w:color w:val="000000"/>
          <w:sz w:val="26"/>
          <w:szCs w:val="26"/>
          <w:rtl/>
          <w:lang w:val="en-US" w:eastAsia="en-US" w:bidi="ar-JO"/>
        </w:rPr>
        <w:t xml:space="preserve"> </w:t>
      </w:r>
      <w:r w:rsidRPr="00731C9A">
        <w:rPr>
          <w:rFonts w:ascii="Simplified Arabic" w:hAnsi="Simplified Arabic" w:cs="Simplified Arabic"/>
          <w:color w:val="000000"/>
          <w:sz w:val="26"/>
          <w:szCs w:val="26"/>
          <w:rtl/>
          <w:lang w:eastAsia="en-US" w:bidi="ar-JO"/>
        </w:rPr>
        <w:t>ألف</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عامل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ال</w:t>
      </w:r>
      <w:r w:rsidR="00EB1F27" w:rsidRPr="00731C9A">
        <w:rPr>
          <w:rFonts w:ascii="Simplified Arabic" w:hAnsi="Simplified Arabic" w:cs="Simplified Arabic"/>
          <w:color w:val="000000"/>
          <w:sz w:val="26"/>
          <w:szCs w:val="26"/>
          <w:rtl/>
          <w:lang w:eastAsia="en-US" w:bidi="ar-JO"/>
        </w:rPr>
        <w:t>عام</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2023</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 xml:space="preserve">إلى </w:t>
      </w:r>
      <w:r w:rsidR="00EB1F27" w:rsidRPr="00731C9A">
        <w:rPr>
          <w:rFonts w:ascii="Simplified Arabic" w:hAnsi="Simplified Arabic" w:cs="Simplified Arabic"/>
          <w:color w:val="000000"/>
          <w:sz w:val="26"/>
          <w:szCs w:val="26"/>
          <w:rtl/>
          <w:lang w:val="en-US" w:eastAsia="en-US" w:bidi="ar-JO"/>
        </w:rPr>
        <w:t>15</w:t>
      </w:r>
      <w:r w:rsidR="00D92DE1" w:rsidRPr="00731C9A">
        <w:rPr>
          <w:rFonts w:ascii="Simplified Arabic" w:hAnsi="Simplified Arabic" w:cs="Simplified Arabic"/>
          <w:color w:val="000000"/>
          <w:sz w:val="26"/>
          <w:szCs w:val="26"/>
          <w:rtl/>
          <w:lang w:val="en-US" w:eastAsia="en-US" w:bidi="ar-JO"/>
        </w:rPr>
        <w:t xml:space="preserve"> </w:t>
      </w:r>
      <w:r w:rsidR="00EB1F27" w:rsidRPr="00731C9A">
        <w:rPr>
          <w:rFonts w:ascii="Simplified Arabic" w:hAnsi="Simplified Arabic" w:cs="Simplified Arabic"/>
          <w:color w:val="000000"/>
          <w:sz w:val="26"/>
          <w:szCs w:val="26"/>
          <w:rtl/>
          <w:lang w:val="en-US" w:eastAsia="en-US" w:bidi="ar-JO"/>
        </w:rPr>
        <w:t>ألف</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عامل</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في</w:t>
      </w:r>
      <w:r w:rsidR="00D92DE1" w:rsidRPr="00731C9A">
        <w:rPr>
          <w:rFonts w:ascii="Simplified Arabic" w:hAnsi="Simplified Arabic" w:cs="Simplified Arabic"/>
          <w:color w:val="000000"/>
          <w:sz w:val="26"/>
          <w:szCs w:val="26"/>
          <w:rtl/>
          <w:lang w:eastAsia="en-US" w:bidi="ar-JO"/>
        </w:rPr>
        <w:t xml:space="preserve"> </w:t>
      </w:r>
      <w:r w:rsidR="001055D6" w:rsidRPr="00731C9A">
        <w:rPr>
          <w:rFonts w:ascii="Simplified Arabic" w:hAnsi="Simplified Arabic" w:cs="Simplified Arabic"/>
          <w:color w:val="000000"/>
          <w:sz w:val="26"/>
          <w:szCs w:val="26"/>
          <w:rtl/>
          <w:lang w:eastAsia="en-US" w:bidi="ar-JO"/>
        </w:rPr>
        <w:t>ال</w:t>
      </w:r>
      <w:r w:rsidR="00EB1F27" w:rsidRPr="00731C9A">
        <w:rPr>
          <w:rFonts w:ascii="Simplified Arabic" w:hAnsi="Simplified Arabic" w:cs="Simplified Arabic"/>
          <w:color w:val="000000"/>
          <w:sz w:val="26"/>
          <w:szCs w:val="26"/>
          <w:rtl/>
          <w:lang w:eastAsia="en-US" w:bidi="ar-JO"/>
        </w:rPr>
        <w:t>عام</w:t>
      </w:r>
      <w:r w:rsidR="00D92DE1"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202</w:t>
      </w:r>
      <w:r w:rsidR="00EB1F27" w:rsidRPr="00731C9A">
        <w:rPr>
          <w:rFonts w:ascii="Simplified Arabic" w:hAnsi="Simplified Arabic" w:cs="Simplified Arabic"/>
          <w:color w:val="000000"/>
          <w:sz w:val="26"/>
          <w:szCs w:val="26"/>
          <w:rtl/>
          <w:lang w:eastAsia="en-US" w:bidi="ar-JO"/>
        </w:rPr>
        <w:t>4</w:t>
      </w:r>
      <w:r w:rsidRPr="00731C9A">
        <w:rPr>
          <w:rFonts w:ascii="Simplified Arabic" w:hAnsi="Simplified Arabic" w:cs="Simplified Arabic"/>
          <w:color w:val="000000"/>
          <w:sz w:val="26"/>
          <w:szCs w:val="26"/>
          <w:rtl/>
          <w:lang w:eastAsia="en-US" w:bidi="ar-JO"/>
        </w:rPr>
        <w:t>.</w:t>
      </w:r>
    </w:p>
    <w:p w:rsidR="00241A7B" w:rsidRPr="00BF4A21" w:rsidRDefault="00241A7B" w:rsidP="00EB1F27">
      <w:pPr>
        <w:pStyle w:val="BodyText"/>
        <w:rPr>
          <w:rFonts w:ascii="Simplified Arabic" w:hAnsi="Simplified Arabic" w:cs="Simplified Arabic"/>
          <w:color w:val="FF0000"/>
          <w:sz w:val="2"/>
          <w:szCs w:val="2"/>
          <w:rtl/>
          <w:lang w:eastAsia="en-US" w:bidi="ar-JO"/>
        </w:rPr>
      </w:pPr>
    </w:p>
    <w:p w:rsidR="001055D6" w:rsidRPr="00731C9A" w:rsidRDefault="001055D6" w:rsidP="001055D6">
      <w:pPr>
        <w:widowControl w:val="0"/>
        <w:jc w:val="lowKashida"/>
        <w:rPr>
          <w:rFonts w:ascii="Simplified Arabic" w:hAnsi="Simplified Arabic" w:cs="Simplified Arabic"/>
          <w:color w:val="000000"/>
          <w:sz w:val="16"/>
          <w:szCs w:val="16"/>
          <w:rtl/>
        </w:rPr>
      </w:pPr>
    </w:p>
    <w:p w:rsidR="00F52C3D" w:rsidRPr="00731C9A" w:rsidRDefault="00F52C3D" w:rsidP="007758E5">
      <w:pPr>
        <w:tabs>
          <w:tab w:val="num" w:pos="720"/>
        </w:tabs>
        <w:ind w:left="-1"/>
        <w:jc w:val="lowKashida"/>
        <w:rPr>
          <w:rFonts w:cs="Simplified Arabic"/>
          <w:b/>
          <w:bCs/>
          <w:color w:val="000000"/>
          <w:sz w:val="28"/>
          <w:szCs w:val="28"/>
          <w:rtl/>
          <w:lang w:eastAsia="en-US"/>
        </w:rPr>
      </w:pPr>
      <w:r w:rsidRPr="00731C9A">
        <w:rPr>
          <w:rFonts w:cs="Simplified Arabic" w:hint="cs"/>
          <w:b/>
          <w:bCs/>
          <w:color w:val="000000"/>
          <w:sz w:val="28"/>
          <w:szCs w:val="28"/>
          <w:rtl/>
          <w:lang w:eastAsia="en-US"/>
        </w:rPr>
        <w:t>انخفاض</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عدد</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العاملين</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في</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السوق</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المحلي</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في</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الضفة</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الغربية</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بين</w:t>
      </w:r>
      <w:r w:rsidR="00D92DE1" w:rsidRPr="00731C9A">
        <w:rPr>
          <w:rFonts w:cs="Simplified Arabic" w:hint="cs"/>
          <w:b/>
          <w:bCs/>
          <w:color w:val="000000"/>
          <w:sz w:val="28"/>
          <w:szCs w:val="28"/>
          <w:rtl/>
          <w:lang w:eastAsia="en-US"/>
        </w:rPr>
        <w:t xml:space="preserve"> </w:t>
      </w:r>
      <w:r w:rsidR="001055D6" w:rsidRPr="00731C9A">
        <w:rPr>
          <w:rFonts w:cs="Simplified Arabic" w:hint="cs"/>
          <w:b/>
          <w:bCs/>
          <w:color w:val="000000"/>
          <w:sz w:val="28"/>
          <w:szCs w:val="28"/>
          <w:rtl/>
          <w:lang w:eastAsia="en-US"/>
        </w:rPr>
        <w:t>ال</w:t>
      </w:r>
      <w:r w:rsidR="007758E5" w:rsidRPr="00731C9A">
        <w:rPr>
          <w:rFonts w:cs="Simplified Arabic" w:hint="cs"/>
          <w:b/>
          <w:bCs/>
          <w:color w:val="000000"/>
          <w:sz w:val="28"/>
          <w:szCs w:val="28"/>
          <w:rtl/>
          <w:lang w:eastAsia="en-US"/>
        </w:rPr>
        <w:t>عام</w:t>
      </w:r>
      <w:r w:rsidR="001055D6" w:rsidRPr="00731C9A">
        <w:rPr>
          <w:rFonts w:cs="Simplified Arabic" w:hint="cs"/>
          <w:b/>
          <w:bCs/>
          <w:color w:val="000000"/>
          <w:sz w:val="28"/>
          <w:szCs w:val="28"/>
          <w:rtl/>
          <w:lang w:eastAsia="en-US"/>
        </w:rPr>
        <w:t>ين</w:t>
      </w:r>
      <w:r w:rsidR="00D92DE1" w:rsidRPr="00731C9A">
        <w:rPr>
          <w:rFonts w:cs="Simplified Arabic" w:hint="cs"/>
          <w:b/>
          <w:bCs/>
          <w:color w:val="000000"/>
          <w:sz w:val="28"/>
          <w:szCs w:val="28"/>
          <w:rtl/>
          <w:lang w:eastAsia="en-US"/>
        </w:rPr>
        <w:t xml:space="preserve"> </w:t>
      </w:r>
      <w:r w:rsidRPr="00731C9A">
        <w:rPr>
          <w:rFonts w:cs="Simplified Arabic" w:hint="cs"/>
          <w:b/>
          <w:bCs/>
          <w:color w:val="000000"/>
          <w:sz w:val="28"/>
          <w:szCs w:val="28"/>
          <w:rtl/>
          <w:lang w:eastAsia="en-US"/>
        </w:rPr>
        <w:t>2023</w:t>
      </w:r>
      <w:r w:rsidR="00D92DE1" w:rsidRPr="00731C9A">
        <w:rPr>
          <w:rFonts w:cs="Simplified Arabic" w:hint="cs"/>
          <w:b/>
          <w:bCs/>
          <w:color w:val="000000"/>
          <w:sz w:val="28"/>
          <w:szCs w:val="28"/>
          <w:rtl/>
          <w:lang w:eastAsia="en-US"/>
        </w:rPr>
        <w:t xml:space="preserve"> </w:t>
      </w:r>
      <w:r w:rsidR="007758E5" w:rsidRPr="00731C9A">
        <w:rPr>
          <w:rFonts w:cs="Simplified Arabic" w:hint="cs"/>
          <w:b/>
          <w:bCs/>
          <w:color w:val="000000"/>
          <w:sz w:val="28"/>
          <w:szCs w:val="28"/>
          <w:rtl/>
          <w:lang w:eastAsia="en-US"/>
        </w:rPr>
        <w:t>و2024</w:t>
      </w:r>
    </w:p>
    <w:p w:rsidR="00F52C3D" w:rsidRPr="00731C9A" w:rsidRDefault="00F52C3D" w:rsidP="007758E5">
      <w:pPr>
        <w:tabs>
          <w:tab w:val="num" w:pos="720"/>
        </w:tabs>
        <w:ind w:left="-1"/>
        <w:jc w:val="lowKashida"/>
        <w:rPr>
          <w:rFonts w:ascii="Simplified Arabic" w:hAnsi="Simplified Arabic" w:cs="Simplified Arabic"/>
          <w:color w:val="000000"/>
          <w:sz w:val="26"/>
          <w:szCs w:val="26"/>
          <w:rtl/>
          <w:lang w:eastAsia="en-US"/>
        </w:rPr>
      </w:pPr>
      <w:r w:rsidRPr="00731C9A">
        <w:rPr>
          <w:rFonts w:ascii="Simplified Arabic" w:hAnsi="Simplified Arabic" w:cs="Simplified Arabic"/>
          <w:sz w:val="26"/>
          <w:szCs w:val="26"/>
          <w:rtl/>
          <w:lang w:eastAsia="en-US"/>
        </w:rPr>
        <w:t>انخفض</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عدد</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العاملين</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في</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السوق</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المحلي</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في</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الضفة</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الغربية</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من</w:t>
      </w:r>
      <w:r w:rsidR="00D92DE1" w:rsidRPr="00731C9A">
        <w:rPr>
          <w:rFonts w:ascii="Simplified Arabic" w:hAnsi="Simplified Arabic" w:cs="Simplified Arabic"/>
          <w:sz w:val="26"/>
          <w:szCs w:val="26"/>
          <w:rtl/>
          <w:lang w:eastAsia="en-US"/>
        </w:rPr>
        <w:t xml:space="preserve"> </w:t>
      </w:r>
      <w:r w:rsidR="007758E5" w:rsidRPr="00731C9A">
        <w:rPr>
          <w:rFonts w:ascii="Simplified Arabic" w:hAnsi="Simplified Arabic" w:cs="Simplified Arabic"/>
          <w:sz w:val="26"/>
          <w:szCs w:val="26"/>
          <w:rtl/>
          <w:lang w:eastAsia="en-US"/>
        </w:rPr>
        <w:t>685</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color w:val="000000"/>
          <w:sz w:val="26"/>
          <w:szCs w:val="26"/>
          <w:rtl/>
          <w:lang w:eastAsia="en-US"/>
        </w:rPr>
        <w:t>ألف</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عامل</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001055D6" w:rsidRPr="00731C9A">
        <w:rPr>
          <w:rFonts w:ascii="Simplified Arabic" w:hAnsi="Simplified Arabic" w:cs="Simplified Arabic"/>
          <w:color w:val="000000"/>
          <w:sz w:val="26"/>
          <w:szCs w:val="26"/>
          <w:rtl/>
          <w:lang w:eastAsia="en-US"/>
        </w:rPr>
        <w:t>ال</w:t>
      </w:r>
      <w:r w:rsidR="007758E5" w:rsidRPr="00731C9A">
        <w:rPr>
          <w:rFonts w:ascii="Simplified Arabic" w:hAnsi="Simplified Arabic" w:cs="Simplified Arabic"/>
          <w:color w:val="000000"/>
          <w:sz w:val="26"/>
          <w:szCs w:val="26"/>
          <w:rtl/>
          <w:lang w:eastAsia="en-US"/>
        </w:rPr>
        <w:t>عام</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2023</w:t>
      </w:r>
      <w:r w:rsidR="00D92DE1" w:rsidRPr="00731C9A">
        <w:rPr>
          <w:rFonts w:ascii="Simplified Arabic" w:hAnsi="Simplified Arabic" w:cs="Simplified Arabic"/>
          <w:color w:val="000000"/>
          <w:sz w:val="26"/>
          <w:szCs w:val="26"/>
          <w:rtl/>
          <w:lang w:eastAsia="en-US"/>
        </w:rPr>
        <w:t xml:space="preserve"> </w:t>
      </w:r>
      <w:r w:rsidR="001055D6" w:rsidRPr="00731C9A">
        <w:rPr>
          <w:rFonts w:ascii="Simplified Arabic" w:hAnsi="Simplified Arabic" w:cs="Simplified Arabic"/>
          <w:color w:val="000000"/>
          <w:sz w:val="26"/>
          <w:szCs w:val="26"/>
          <w:rtl/>
          <w:lang w:eastAsia="en-US"/>
        </w:rPr>
        <w:t>إلى</w:t>
      </w:r>
      <w:r w:rsidR="001055D6" w:rsidRPr="00731C9A">
        <w:rPr>
          <w:rFonts w:ascii="Simplified Arabic" w:hAnsi="Simplified Arabic" w:cs="Simplified Arabic"/>
          <w:color w:val="000000"/>
          <w:sz w:val="26"/>
          <w:szCs w:val="26"/>
          <w:rtl/>
          <w:lang w:eastAsia="en-US" w:bidi="ar-JO"/>
        </w:rPr>
        <w:t xml:space="preserve"> </w:t>
      </w:r>
      <w:r w:rsidRPr="00731C9A">
        <w:rPr>
          <w:rFonts w:ascii="Simplified Arabic" w:hAnsi="Simplified Arabic" w:cs="Simplified Arabic"/>
          <w:color w:val="000000"/>
          <w:sz w:val="26"/>
          <w:szCs w:val="26"/>
          <w:rtl/>
          <w:lang w:eastAsia="en-US" w:bidi="ar-JO"/>
        </w:rPr>
        <w:t>حوالي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sz w:val="26"/>
          <w:szCs w:val="26"/>
          <w:rtl/>
          <w:lang w:eastAsia="en-US"/>
        </w:rPr>
        <w:t>6</w:t>
      </w:r>
      <w:r w:rsidR="007758E5" w:rsidRPr="00731C9A">
        <w:rPr>
          <w:rFonts w:ascii="Simplified Arabic" w:hAnsi="Simplified Arabic" w:cs="Simplified Arabic"/>
          <w:sz w:val="26"/>
          <w:szCs w:val="26"/>
          <w:rtl/>
          <w:lang w:eastAsia="en-US"/>
        </w:rPr>
        <w:t>50</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ألف</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عامل</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001055D6" w:rsidRPr="00731C9A">
        <w:rPr>
          <w:rFonts w:ascii="Simplified Arabic" w:hAnsi="Simplified Arabic" w:cs="Simplified Arabic"/>
          <w:color w:val="000000"/>
          <w:sz w:val="26"/>
          <w:szCs w:val="26"/>
          <w:rtl/>
          <w:lang w:eastAsia="en-US"/>
        </w:rPr>
        <w:t>ال</w:t>
      </w:r>
      <w:r w:rsidR="007758E5" w:rsidRPr="00731C9A">
        <w:rPr>
          <w:rFonts w:ascii="Simplified Arabic" w:hAnsi="Simplified Arabic" w:cs="Simplified Arabic"/>
          <w:color w:val="000000"/>
          <w:sz w:val="26"/>
          <w:szCs w:val="26"/>
          <w:rtl/>
          <w:lang w:eastAsia="en-US"/>
        </w:rPr>
        <w:t>عام</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202</w:t>
      </w:r>
      <w:r w:rsidR="007758E5" w:rsidRPr="00731C9A">
        <w:rPr>
          <w:rFonts w:ascii="Simplified Arabic" w:hAnsi="Simplified Arabic" w:cs="Simplified Arabic"/>
          <w:color w:val="000000"/>
          <w:sz w:val="26"/>
          <w:szCs w:val="26"/>
          <w:rtl/>
          <w:lang w:eastAsia="en-US"/>
        </w:rPr>
        <w:t>4</w:t>
      </w:r>
      <w:r w:rsidR="001055D6" w:rsidRPr="00731C9A">
        <w:rPr>
          <w:rFonts w:ascii="Simplified Arabic" w:hAnsi="Simplified Arabic" w:cs="Simplified Arabic"/>
          <w:color w:val="000000"/>
          <w:sz w:val="26"/>
          <w:szCs w:val="26"/>
          <w:rtl/>
          <w:lang w:eastAsia="en-US"/>
        </w:rPr>
        <w:t>؛</w:t>
      </w:r>
      <w:r w:rsidR="00D92DE1" w:rsidRPr="00731C9A">
        <w:rPr>
          <w:rFonts w:ascii="Simplified Arabic" w:hAnsi="Simplified Arabic" w:cs="Simplified Arabic"/>
          <w:color w:val="000000"/>
          <w:sz w:val="26"/>
          <w:szCs w:val="26"/>
          <w:rtl/>
          <w:lang w:eastAsia="en-US"/>
        </w:rPr>
        <w:t xml:space="preserve"> </w:t>
      </w:r>
      <w:r w:rsidR="001055D6" w:rsidRPr="00731C9A">
        <w:rPr>
          <w:rFonts w:ascii="Simplified Arabic" w:hAnsi="Simplified Arabic" w:cs="Simplified Arabic"/>
          <w:sz w:val="26"/>
          <w:szCs w:val="26"/>
          <w:rtl/>
        </w:rPr>
        <w:t xml:space="preserve">أي ما نسبته </w:t>
      </w:r>
      <w:r w:rsidR="007758E5" w:rsidRPr="00731C9A">
        <w:rPr>
          <w:rFonts w:ascii="Simplified Arabic" w:hAnsi="Simplified Arabic" w:cs="Simplified Arabic"/>
          <w:color w:val="000000"/>
          <w:sz w:val="26"/>
          <w:szCs w:val="26"/>
          <w:rtl/>
          <w:lang w:eastAsia="en-US"/>
        </w:rPr>
        <w:t>5</w:t>
      </w:r>
      <w:r w:rsidRPr="00731C9A">
        <w:rPr>
          <w:rFonts w:ascii="Simplified Arabic" w:hAnsi="Simplified Arabic" w:cs="Simplified Arabic"/>
          <w:color w:val="000000"/>
          <w:sz w:val="26"/>
          <w:szCs w:val="26"/>
          <w:rtl/>
          <w:lang w:eastAsia="en-US"/>
        </w:rPr>
        <w:t>%.</w:t>
      </w:r>
    </w:p>
    <w:p w:rsidR="001055D6" w:rsidRPr="00731C9A" w:rsidRDefault="001055D6" w:rsidP="001055D6">
      <w:pPr>
        <w:widowControl w:val="0"/>
        <w:jc w:val="lowKashida"/>
        <w:rPr>
          <w:rFonts w:ascii="Simplified Arabic" w:hAnsi="Simplified Arabic" w:cs="Simplified Arabic"/>
          <w:color w:val="000000"/>
          <w:sz w:val="16"/>
          <w:szCs w:val="16"/>
          <w:rtl/>
        </w:rPr>
      </w:pPr>
    </w:p>
    <w:p w:rsidR="00731C9A" w:rsidRDefault="00F52C3D" w:rsidP="00731C9A">
      <w:pPr>
        <w:tabs>
          <w:tab w:val="num" w:pos="720"/>
        </w:tabs>
        <w:ind w:left="-1"/>
        <w:jc w:val="lowKashida"/>
        <w:rPr>
          <w:rFonts w:ascii="Simplified Arabic" w:hAnsi="Simplified Arabic" w:cs="Simplified Arabic"/>
          <w:color w:val="000000"/>
          <w:sz w:val="26"/>
          <w:szCs w:val="26"/>
          <w:rtl/>
          <w:lang w:eastAsia="en-US"/>
        </w:rPr>
      </w:pPr>
      <w:r w:rsidRPr="00731C9A">
        <w:rPr>
          <w:rFonts w:ascii="Simplified Arabic" w:hAnsi="Simplified Arabic" w:cs="Simplified Arabic"/>
          <w:sz w:val="26"/>
          <w:szCs w:val="26"/>
          <w:rtl/>
          <w:lang w:eastAsia="en-US"/>
        </w:rPr>
        <w:t>بينت</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النتائج</w:t>
      </w:r>
      <w:r w:rsidR="00D92DE1" w:rsidRPr="00731C9A">
        <w:rPr>
          <w:rFonts w:ascii="Simplified Arabic" w:hAnsi="Simplified Arabic" w:cs="Simplified Arabic"/>
          <w:color w:val="000000"/>
          <w:sz w:val="26"/>
          <w:szCs w:val="26"/>
          <w:rtl/>
          <w:lang w:eastAsia="en-US"/>
        </w:rPr>
        <w:t xml:space="preserve"> </w:t>
      </w:r>
      <w:r w:rsidR="001055D6" w:rsidRPr="00731C9A">
        <w:rPr>
          <w:rFonts w:ascii="Simplified Arabic" w:hAnsi="Simplified Arabic" w:cs="Simplified Arabic"/>
          <w:color w:val="000000"/>
          <w:sz w:val="26"/>
          <w:szCs w:val="26"/>
          <w:rtl/>
          <w:lang w:eastAsia="en-US"/>
        </w:rPr>
        <w:t>أن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الانخفاض</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عدد</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العاملين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السوق</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المحلي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الضفة</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الغربية</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كان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نتيجة</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لانخفاض</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عدد</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العاملين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نشاط</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البناء</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والتشييد،</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يليه</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نشاط</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الخدمات</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الأخرى</w:t>
      </w:r>
      <w:r w:rsidR="001055D6" w:rsidRPr="00731C9A">
        <w:rPr>
          <w:rFonts w:ascii="Simplified Arabic" w:hAnsi="Simplified Arabic" w:cs="Simplified Arabic"/>
          <w:color w:val="000000"/>
          <w:sz w:val="26"/>
          <w:szCs w:val="26"/>
          <w:rtl/>
          <w:lang w:eastAsia="en-US"/>
        </w:rPr>
        <w:t>،</w:t>
      </w:r>
      <w:r w:rsidR="00A86F4B" w:rsidRPr="00731C9A">
        <w:rPr>
          <w:rStyle w:val="FootnoteReference"/>
          <w:rFonts w:ascii="Simplified Arabic" w:hAnsi="Simplified Arabic" w:cs="Simplified Arabic"/>
          <w:color w:val="000000"/>
          <w:sz w:val="26"/>
          <w:szCs w:val="26"/>
          <w:rtl/>
          <w:lang w:eastAsia="en-US"/>
        </w:rPr>
        <w:footnoteReference w:id="1"/>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ثم</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نشاط</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التجارة</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والمطاعم</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والفنادق</w:t>
      </w:r>
      <w:r w:rsidR="001055D6" w:rsidRPr="00731C9A">
        <w:rPr>
          <w:rFonts w:ascii="Simplified Arabic" w:hAnsi="Simplified Arabic" w:cs="Simplified Arabic"/>
          <w:color w:val="000000"/>
          <w:sz w:val="26"/>
          <w:szCs w:val="26"/>
          <w:rtl/>
          <w:lang w:eastAsia="en-US"/>
        </w:rPr>
        <w:t>،</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وأخيرا</w:t>
      </w:r>
      <w:r w:rsidR="001055D6" w:rsidRPr="00731C9A">
        <w:rPr>
          <w:rFonts w:ascii="Simplified Arabic" w:hAnsi="Simplified Arabic" w:cs="Simplified Arabic"/>
          <w:color w:val="000000"/>
          <w:sz w:val="26"/>
          <w:szCs w:val="26"/>
          <w:rtl/>
          <w:lang w:eastAsia="en-US"/>
        </w:rPr>
        <w:t>ً</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نشاط</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التعدين</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والصناعة</w:t>
      </w:r>
      <w:r w:rsidR="00D92DE1" w:rsidRPr="00731C9A">
        <w:rPr>
          <w:rFonts w:ascii="Simplified Arabic" w:hAnsi="Simplified Arabic" w:cs="Simplified Arabic"/>
          <w:color w:val="000000"/>
          <w:sz w:val="26"/>
          <w:szCs w:val="26"/>
          <w:rtl/>
          <w:lang w:eastAsia="en-US"/>
        </w:rPr>
        <w:t xml:space="preserve"> </w:t>
      </w:r>
      <w:r w:rsidR="00A86F4B" w:rsidRPr="00731C9A">
        <w:rPr>
          <w:rFonts w:ascii="Simplified Arabic" w:hAnsi="Simplified Arabic" w:cs="Simplified Arabic"/>
          <w:color w:val="000000"/>
          <w:sz w:val="26"/>
          <w:szCs w:val="26"/>
          <w:rtl/>
          <w:lang w:eastAsia="en-US"/>
        </w:rPr>
        <w:t>التحويلية</w:t>
      </w:r>
      <w:r w:rsidRPr="00731C9A">
        <w:rPr>
          <w:rFonts w:ascii="Simplified Arabic" w:hAnsi="Simplified Arabic" w:cs="Simplified Arabic"/>
          <w:color w:val="000000"/>
          <w:sz w:val="26"/>
          <w:szCs w:val="26"/>
          <w:rtl/>
          <w:lang w:eastAsia="en-US"/>
        </w:rPr>
        <w:t>.</w:t>
      </w:r>
    </w:p>
    <w:p w:rsidR="00731C9A" w:rsidRDefault="00731C9A" w:rsidP="00731C9A">
      <w:pPr>
        <w:tabs>
          <w:tab w:val="num" w:pos="720"/>
        </w:tabs>
        <w:ind w:left="-1"/>
        <w:jc w:val="lowKashida"/>
        <w:rPr>
          <w:rFonts w:ascii="Simplified Arabic" w:hAnsi="Simplified Arabic" w:cs="Simplified Arabic"/>
          <w:color w:val="000000"/>
          <w:sz w:val="26"/>
          <w:szCs w:val="26"/>
          <w:rtl/>
          <w:lang w:eastAsia="en-US"/>
        </w:rPr>
      </w:pPr>
    </w:p>
    <w:p w:rsidR="00731C9A" w:rsidRDefault="00731C9A" w:rsidP="00731C9A">
      <w:pPr>
        <w:tabs>
          <w:tab w:val="num" w:pos="720"/>
        </w:tabs>
        <w:ind w:left="-1"/>
        <w:jc w:val="lowKashida"/>
        <w:rPr>
          <w:rFonts w:ascii="Simplified Arabic" w:hAnsi="Simplified Arabic" w:cs="Simplified Arabic"/>
          <w:color w:val="000000"/>
          <w:sz w:val="26"/>
          <w:szCs w:val="26"/>
          <w:rtl/>
          <w:lang w:eastAsia="en-US"/>
        </w:rPr>
      </w:pPr>
    </w:p>
    <w:p w:rsidR="00731C9A" w:rsidRPr="00731C9A" w:rsidRDefault="00731C9A" w:rsidP="00731C9A">
      <w:pPr>
        <w:tabs>
          <w:tab w:val="num" w:pos="720"/>
        </w:tabs>
        <w:ind w:left="-1"/>
        <w:jc w:val="lowKashida"/>
        <w:rPr>
          <w:rFonts w:ascii="Simplified Arabic" w:hAnsi="Simplified Arabic" w:cs="Simplified Arabic"/>
          <w:color w:val="000000"/>
          <w:sz w:val="26"/>
          <w:szCs w:val="26"/>
          <w:rtl/>
          <w:lang w:eastAsia="en-US"/>
        </w:rPr>
      </w:pPr>
    </w:p>
    <w:p w:rsidR="00112BAE" w:rsidRPr="00731C9A" w:rsidRDefault="00112BAE" w:rsidP="00112BAE">
      <w:pPr>
        <w:widowControl w:val="0"/>
        <w:ind w:right="142"/>
        <w:jc w:val="both"/>
        <w:rPr>
          <w:sz w:val="28"/>
          <w:szCs w:val="28"/>
          <w:rtl/>
        </w:rPr>
      </w:pPr>
      <w:r w:rsidRPr="00731C9A">
        <w:rPr>
          <w:rFonts w:cs="Simplified Arabic" w:hint="cs"/>
          <w:b/>
          <w:bCs/>
          <w:sz w:val="28"/>
          <w:szCs w:val="28"/>
          <w:rtl/>
        </w:rPr>
        <w:lastRenderedPageBreak/>
        <w:t>القطاع</w:t>
      </w:r>
      <w:r w:rsidR="00D92DE1" w:rsidRPr="00731C9A">
        <w:rPr>
          <w:rFonts w:cs="Simplified Arabic" w:hint="cs"/>
          <w:b/>
          <w:bCs/>
          <w:sz w:val="28"/>
          <w:szCs w:val="28"/>
          <w:rtl/>
        </w:rPr>
        <w:t xml:space="preserve"> </w:t>
      </w:r>
      <w:r w:rsidRPr="00731C9A">
        <w:rPr>
          <w:rFonts w:cs="Simplified Arabic" w:hint="cs"/>
          <w:b/>
          <w:bCs/>
          <w:sz w:val="28"/>
          <w:szCs w:val="28"/>
          <w:rtl/>
        </w:rPr>
        <w:t>الخاص</w:t>
      </w:r>
      <w:r w:rsidR="00D92DE1" w:rsidRPr="00731C9A">
        <w:rPr>
          <w:rFonts w:cs="Simplified Arabic" w:hint="cs"/>
          <w:b/>
          <w:bCs/>
          <w:sz w:val="28"/>
          <w:szCs w:val="28"/>
          <w:rtl/>
        </w:rPr>
        <w:t xml:space="preserve"> </w:t>
      </w:r>
      <w:r w:rsidRPr="00731C9A">
        <w:rPr>
          <w:rFonts w:cs="Simplified Arabic" w:hint="cs"/>
          <w:b/>
          <w:bCs/>
          <w:sz w:val="28"/>
          <w:szCs w:val="28"/>
          <w:rtl/>
        </w:rPr>
        <w:t>هو</w:t>
      </w:r>
      <w:r w:rsidR="00D92DE1" w:rsidRPr="00731C9A">
        <w:rPr>
          <w:rFonts w:cs="Simplified Arabic" w:hint="cs"/>
          <w:b/>
          <w:bCs/>
          <w:sz w:val="28"/>
          <w:szCs w:val="28"/>
          <w:rtl/>
        </w:rPr>
        <w:t xml:space="preserve"> </w:t>
      </w:r>
      <w:r w:rsidRPr="00731C9A">
        <w:rPr>
          <w:rFonts w:cs="Simplified Arabic" w:hint="cs"/>
          <w:b/>
          <w:bCs/>
          <w:sz w:val="28"/>
          <w:szCs w:val="28"/>
          <w:rtl/>
        </w:rPr>
        <w:t>القطاع</w:t>
      </w:r>
      <w:r w:rsidR="00D92DE1" w:rsidRPr="00731C9A">
        <w:rPr>
          <w:rFonts w:cs="Simplified Arabic" w:hint="cs"/>
          <w:b/>
          <w:bCs/>
          <w:sz w:val="28"/>
          <w:szCs w:val="28"/>
          <w:rtl/>
        </w:rPr>
        <w:t xml:space="preserve"> </w:t>
      </w:r>
      <w:r w:rsidR="001055D6" w:rsidRPr="00731C9A">
        <w:rPr>
          <w:rFonts w:cs="Simplified Arabic" w:hint="cs"/>
          <w:b/>
          <w:bCs/>
          <w:sz w:val="28"/>
          <w:szCs w:val="28"/>
          <w:rtl/>
        </w:rPr>
        <w:t>الأكثر</w:t>
      </w:r>
      <w:r w:rsidR="00D92DE1" w:rsidRPr="00731C9A">
        <w:rPr>
          <w:rFonts w:cs="Simplified Arabic" w:hint="cs"/>
          <w:b/>
          <w:bCs/>
          <w:sz w:val="28"/>
          <w:szCs w:val="28"/>
          <w:rtl/>
        </w:rPr>
        <w:t xml:space="preserve"> </w:t>
      </w:r>
      <w:r w:rsidRPr="00731C9A">
        <w:rPr>
          <w:rFonts w:cs="Simplified Arabic" w:hint="cs"/>
          <w:b/>
          <w:bCs/>
          <w:sz w:val="28"/>
          <w:szCs w:val="28"/>
          <w:rtl/>
        </w:rPr>
        <w:t>تشغيلاً</w:t>
      </w:r>
    </w:p>
    <w:p w:rsidR="00112BAE" w:rsidRPr="00731C9A" w:rsidRDefault="00112BAE" w:rsidP="00B91437">
      <w:pPr>
        <w:ind w:hanging="7"/>
        <w:jc w:val="lowKashida"/>
        <w:rPr>
          <w:rFonts w:ascii="Simplified Arabic" w:hAnsi="Simplified Arabic" w:cs="Simplified Arabic"/>
          <w:sz w:val="26"/>
          <w:szCs w:val="26"/>
          <w:rtl/>
        </w:rPr>
      </w:pPr>
      <w:r w:rsidRPr="00731C9A">
        <w:rPr>
          <w:rFonts w:ascii="Simplified Arabic" w:hAnsi="Simplified Arabic" w:cs="Simplified Arabic"/>
          <w:sz w:val="26"/>
          <w:szCs w:val="26"/>
          <w:rtl/>
        </w:rPr>
        <w:t>بلغ</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عدد</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العاملين</w:t>
      </w:r>
      <w:r w:rsidR="00D92DE1" w:rsidRPr="00731C9A">
        <w:rPr>
          <w:rFonts w:ascii="Simplified Arabic" w:hAnsi="Simplified Arabic" w:cs="Simplified Arabic"/>
          <w:sz w:val="26"/>
          <w:szCs w:val="26"/>
          <w:rtl/>
        </w:rPr>
        <w:t xml:space="preserve"> </w:t>
      </w:r>
      <w:r w:rsidR="00DB1643"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00DB1643"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00DB1643"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00DB1643"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B7113E" w:rsidRPr="00731C9A">
        <w:rPr>
          <w:rFonts w:ascii="Simplified Arabic" w:hAnsi="Simplified Arabic" w:cs="Simplified Arabic"/>
          <w:sz w:val="26"/>
          <w:szCs w:val="26"/>
          <w:rtl/>
        </w:rPr>
        <w:t>681</w:t>
      </w:r>
      <w:r w:rsidR="00D92DE1" w:rsidRPr="00731C9A">
        <w:rPr>
          <w:rFonts w:ascii="Simplified Arabic" w:hAnsi="Simplified Arabic" w:cs="Simplified Arabic"/>
          <w:sz w:val="26"/>
          <w:szCs w:val="26"/>
          <w:rtl/>
        </w:rPr>
        <w:t xml:space="preserve"> </w:t>
      </w:r>
      <w:r w:rsidR="004C7630"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عامل</w:t>
      </w:r>
      <w:r w:rsidR="00224164"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بواقع</w:t>
      </w:r>
      <w:r w:rsidR="00D92DE1" w:rsidRPr="00731C9A">
        <w:rPr>
          <w:rFonts w:ascii="Simplified Arabic" w:hAnsi="Simplified Arabic" w:cs="Simplified Arabic"/>
          <w:sz w:val="26"/>
          <w:szCs w:val="26"/>
          <w:rtl/>
        </w:rPr>
        <w:t xml:space="preserve"> </w:t>
      </w:r>
      <w:r w:rsidR="004C7630" w:rsidRPr="00731C9A">
        <w:rPr>
          <w:rFonts w:ascii="Simplified Arabic" w:hAnsi="Simplified Arabic" w:cs="Simplified Arabic"/>
          <w:sz w:val="26"/>
          <w:szCs w:val="26"/>
          <w:rtl/>
        </w:rPr>
        <w:t>6</w:t>
      </w:r>
      <w:r w:rsidR="00B7113E" w:rsidRPr="00731C9A">
        <w:rPr>
          <w:rFonts w:ascii="Simplified Arabic" w:hAnsi="Simplified Arabic" w:cs="Simplified Arabic"/>
          <w:sz w:val="26"/>
          <w:szCs w:val="26"/>
          <w:rtl/>
        </w:rPr>
        <w:t>50</w:t>
      </w:r>
      <w:r w:rsidR="00D92DE1" w:rsidRPr="00731C9A">
        <w:rPr>
          <w:rFonts w:ascii="Simplified Arabic" w:hAnsi="Simplified Arabic" w:cs="Simplified Arabic"/>
          <w:sz w:val="26"/>
          <w:szCs w:val="26"/>
          <w:rtl/>
        </w:rPr>
        <w:t xml:space="preserve"> </w:t>
      </w:r>
      <w:r w:rsidR="00224164" w:rsidRPr="00731C9A">
        <w:rPr>
          <w:rFonts w:ascii="Simplified Arabic" w:hAnsi="Simplified Arabic" w:cs="Simplified Arabic"/>
          <w:sz w:val="26"/>
          <w:szCs w:val="26"/>
          <w:rtl/>
        </w:rPr>
        <w:t>ألف</w:t>
      </w:r>
      <w:r w:rsidR="001055D6" w:rsidRPr="00731C9A">
        <w:rPr>
          <w:rFonts w:ascii="Simplified Arabic" w:hAnsi="Simplified Arabic" w:cs="Simplified Arabic"/>
          <w:sz w:val="26"/>
          <w:szCs w:val="26"/>
          <w:rtl/>
        </w:rPr>
        <w:t>اً</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w:t>
      </w:r>
      <w:r w:rsidR="00B7113E" w:rsidRPr="00731C9A">
        <w:rPr>
          <w:rFonts w:ascii="Simplified Arabic" w:hAnsi="Simplified Arabic" w:cs="Simplified Arabic"/>
          <w:sz w:val="26"/>
          <w:szCs w:val="26"/>
          <w:rtl/>
        </w:rPr>
        <w:t>31</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00224164" w:rsidRPr="00731C9A">
        <w:rPr>
          <w:rFonts w:ascii="Simplified Arabic" w:hAnsi="Simplified Arabic" w:cs="Simplified Arabic"/>
          <w:sz w:val="26"/>
          <w:szCs w:val="26"/>
          <w:rtl/>
        </w:rPr>
        <w:t>عامل</w:t>
      </w:r>
      <w:r w:rsidR="00D92DE1" w:rsidRPr="00731C9A">
        <w:rPr>
          <w:rFonts w:ascii="Simplified Arabic" w:hAnsi="Simplified Arabic" w:cs="Simplified Arabic"/>
          <w:sz w:val="26"/>
          <w:szCs w:val="26"/>
          <w:rtl/>
        </w:rPr>
        <w:t xml:space="preserve"> </w:t>
      </w:r>
      <w:r w:rsidR="000F337A"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إسرائيل</w:t>
      </w:r>
      <w:r w:rsidR="00D92DE1" w:rsidRPr="00731C9A">
        <w:rPr>
          <w:rFonts w:ascii="Simplified Arabic" w:hAnsi="Simplified Arabic" w:cs="Simplified Arabic"/>
          <w:sz w:val="26"/>
          <w:szCs w:val="26"/>
          <w:rtl/>
        </w:rPr>
        <w:t xml:space="preserve"> </w:t>
      </w:r>
      <w:r w:rsidR="000F337A" w:rsidRPr="00731C9A">
        <w:rPr>
          <w:rFonts w:ascii="Simplified Arabic" w:hAnsi="Simplified Arabic" w:cs="Simplified Arabic"/>
          <w:sz w:val="26"/>
          <w:szCs w:val="26"/>
          <w:rtl/>
        </w:rPr>
        <w:t>والمستعمرات</w:t>
      </w:r>
      <w:r w:rsidR="001055D6"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منهم</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B91437" w:rsidRPr="00731C9A">
        <w:rPr>
          <w:rFonts w:ascii="Simplified Arabic" w:hAnsi="Simplified Arabic" w:cs="Simplified Arabic"/>
          <w:sz w:val="26"/>
          <w:szCs w:val="26"/>
          <w:rtl/>
        </w:rPr>
        <w:t>447</w:t>
      </w:r>
      <w:r w:rsidR="00D92DE1" w:rsidRPr="00731C9A">
        <w:rPr>
          <w:rFonts w:ascii="Simplified Arabic" w:hAnsi="Simplified Arabic" w:cs="Simplified Arabic"/>
          <w:sz w:val="26"/>
          <w:szCs w:val="26"/>
          <w:rtl/>
        </w:rPr>
        <w:t xml:space="preserve"> </w:t>
      </w:r>
      <w:r w:rsidR="005F58B8"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005F58B8" w:rsidRPr="00731C9A">
        <w:rPr>
          <w:rFonts w:ascii="Simplified Arabic" w:hAnsi="Simplified Arabic" w:cs="Simplified Arabic"/>
          <w:sz w:val="26"/>
          <w:szCs w:val="26"/>
          <w:rtl/>
        </w:rPr>
        <w:t>مستخدم</w:t>
      </w:r>
      <w:r w:rsidR="00D92DE1" w:rsidRPr="00731C9A">
        <w:rPr>
          <w:rFonts w:ascii="Simplified Arabic" w:hAnsi="Simplified Arabic" w:cs="Simplified Arabic"/>
          <w:sz w:val="26"/>
          <w:szCs w:val="26"/>
          <w:rtl/>
        </w:rPr>
        <w:t xml:space="preserve"> </w:t>
      </w:r>
      <w:r w:rsidR="005F58B8"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w:t>
      </w:r>
      <w:r w:rsidR="00FC5B03" w:rsidRPr="00731C9A">
        <w:rPr>
          <w:rFonts w:ascii="Simplified Arabic" w:hAnsi="Simplified Arabic" w:cs="Simplified Arabic"/>
          <w:sz w:val="26"/>
          <w:szCs w:val="26"/>
          <w:rtl/>
        </w:rPr>
        <w:t>4</w:t>
      </w:r>
      <w:r w:rsidR="00B7113E" w:rsidRPr="00731C9A">
        <w:rPr>
          <w:rFonts w:ascii="Simplified Arabic" w:hAnsi="Simplified Arabic" w:cs="Simplified Arabic"/>
          <w:sz w:val="26"/>
          <w:szCs w:val="26"/>
          <w:rtl/>
        </w:rPr>
        <w:t>16</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مستخدم</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يعمل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الغربية</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0D433A" w:rsidRPr="00731C9A">
        <w:rPr>
          <w:rFonts w:ascii="Simplified Arabic" w:hAnsi="Simplified Arabic" w:cs="Simplified Arabic"/>
          <w:sz w:val="26"/>
          <w:szCs w:val="26"/>
          <w:rtl/>
        </w:rPr>
        <w:t>و1</w:t>
      </w:r>
      <w:r w:rsidR="00B7113E" w:rsidRPr="00731C9A">
        <w:rPr>
          <w:rFonts w:ascii="Simplified Arabic" w:hAnsi="Simplified Arabic" w:cs="Simplified Arabic"/>
          <w:sz w:val="26"/>
          <w:szCs w:val="26"/>
          <w:rtl/>
        </w:rPr>
        <w:t>6</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مستخدم</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يعمل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3C10D5" w:rsidRPr="00731C9A">
        <w:rPr>
          <w:rFonts w:ascii="Simplified Arabic" w:hAnsi="Simplified Arabic" w:cs="Simplified Arabic"/>
          <w:sz w:val="26"/>
          <w:szCs w:val="26"/>
          <w:rtl/>
        </w:rPr>
        <w:t>إسرائيل</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3C10D5" w:rsidRPr="00731C9A">
        <w:rPr>
          <w:rFonts w:ascii="Simplified Arabic" w:hAnsi="Simplified Arabic" w:cs="Simplified Arabic"/>
          <w:sz w:val="26"/>
          <w:szCs w:val="26"/>
          <w:rtl/>
        </w:rPr>
        <w:t>و</w:t>
      </w:r>
      <w:r w:rsidR="00B7113E" w:rsidRPr="00731C9A">
        <w:rPr>
          <w:rFonts w:ascii="Simplified Arabic" w:hAnsi="Simplified Arabic" w:cs="Simplified Arabic"/>
          <w:sz w:val="26"/>
          <w:szCs w:val="26"/>
          <w:rtl/>
        </w:rPr>
        <w:t>1</w:t>
      </w:r>
      <w:r w:rsidR="00B91437" w:rsidRPr="00731C9A">
        <w:rPr>
          <w:rFonts w:ascii="Simplified Arabic" w:hAnsi="Simplified Arabic" w:cs="Simplified Arabic"/>
          <w:sz w:val="26"/>
          <w:szCs w:val="26"/>
          <w:rtl/>
        </w:rPr>
        <w:t>5</w:t>
      </w:r>
      <w:r w:rsidR="00D92DE1" w:rsidRPr="00731C9A">
        <w:rPr>
          <w:rFonts w:ascii="Simplified Arabic" w:hAnsi="Simplified Arabic" w:cs="Simplified Arabic"/>
          <w:sz w:val="26"/>
          <w:szCs w:val="26"/>
          <w:rtl/>
        </w:rPr>
        <w:t xml:space="preserve"> </w:t>
      </w:r>
      <w:r w:rsidR="00B23852"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يعمل</w:t>
      </w:r>
      <w:r w:rsidR="004A6E71" w:rsidRPr="00731C9A">
        <w:rPr>
          <w:rFonts w:ascii="Simplified Arabic" w:hAnsi="Simplified Arabic" w:cs="Simplified Arabic"/>
          <w:sz w:val="26"/>
          <w:szCs w:val="26"/>
          <w:rtl/>
        </w:rPr>
        <w:t>ون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المستعمرات</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الإسرائيلية</w:t>
      </w:r>
      <w:r w:rsidRPr="00731C9A">
        <w:rPr>
          <w:rFonts w:ascii="Simplified Arabic" w:hAnsi="Simplified Arabic" w:cs="Simplified Arabic"/>
          <w:sz w:val="26"/>
          <w:szCs w:val="26"/>
          <w:rtl/>
        </w:rPr>
        <w:t>).</w:t>
      </w:r>
    </w:p>
    <w:p w:rsidR="001055D6" w:rsidRPr="00731C9A" w:rsidRDefault="001055D6" w:rsidP="001055D6">
      <w:pPr>
        <w:widowControl w:val="0"/>
        <w:jc w:val="lowKashida"/>
        <w:rPr>
          <w:rFonts w:ascii="Simplified Arabic" w:hAnsi="Simplified Arabic" w:cs="Simplified Arabic"/>
          <w:color w:val="000000"/>
          <w:sz w:val="16"/>
          <w:szCs w:val="16"/>
          <w:rtl/>
        </w:rPr>
      </w:pPr>
    </w:p>
    <w:p w:rsidR="00112BAE" w:rsidRPr="00731C9A" w:rsidRDefault="00112BAE" w:rsidP="00B5630D">
      <w:pPr>
        <w:ind w:hanging="7"/>
        <w:jc w:val="lowKashida"/>
        <w:rPr>
          <w:rFonts w:ascii="Simplified Arabic" w:hAnsi="Simplified Arabic" w:cs="Simplified Arabic"/>
          <w:sz w:val="26"/>
          <w:szCs w:val="26"/>
          <w:rtl/>
        </w:rPr>
      </w:pP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F76356" w:rsidRPr="00731C9A">
        <w:rPr>
          <w:rFonts w:ascii="Simplified Arabic" w:hAnsi="Simplified Arabic" w:cs="Simplified Arabic"/>
          <w:sz w:val="26"/>
          <w:szCs w:val="26"/>
          <w:rtl/>
        </w:rPr>
        <w:t>6</w:t>
      </w:r>
      <w:r w:rsidR="00B5630D" w:rsidRPr="00731C9A">
        <w:rPr>
          <w:rFonts w:ascii="Simplified Arabic" w:hAnsi="Simplified Arabic" w:cs="Simplified Arabic"/>
          <w:sz w:val="26"/>
          <w:szCs w:val="26"/>
          <w:rtl/>
        </w:rPr>
        <w:t>5</w:t>
      </w:r>
      <w:r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مجموع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المستخدمين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7D67CE" w:rsidRPr="00731C9A">
        <w:rPr>
          <w:rFonts w:ascii="Simplified Arabic" w:hAnsi="Simplified Arabic" w:cs="Simplified Arabic"/>
          <w:sz w:val="26"/>
          <w:szCs w:val="26"/>
          <w:rtl/>
        </w:rPr>
        <w:t>الضفة</w:t>
      </w:r>
      <w:r w:rsidR="00D92DE1" w:rsidRPr="00731C9A">
        <w:rPr>
          <w:rFonts w:ascii="Simplified Arabic" w:hAnsi="Simplified Arabic" w:cs="Simplified Arabic"/>
          <w:sz w:val="26"/>
          <w:szCs w:val="26"/>
          <w:rtl/>
        </w:rPr>
        <w:t xml:space="preserve"> </w:t>
      </w:r>
      <w:r w:rsidR="007D67CE" w:rsidRPr="00731C9A">
        <w:rPr>
          <w:rFonts w:ascii="Simplified Arabic" w:hAnsi="Simplified Arabic" w:cs="Simplified Arabic"/>
          <w:sz w:val="26"/>
          <w:szCs w:val="26"/>
          <w:rtl/>
        </w:rPr>
        <w:t>الغربية</w:t>
      </w:r>
      <w:r w:rsidR="00D92DE1" w:rsidRPr="00731C9A">
        <w:rPr>
          <w:rFonts w:ascii="Simplified Arabic" w:hAnsi="Simplified Arabic" w:cs="Simplified Arabic"/>
          <w:sz w:val="26"/>
          <w:szCs w:val="26"/>
          <w:rtl/>
        </w:rPr>
        <w:t xml:space="preserve"> </w:t>
      </w:r>
      <w:r w:rsidR="009A1B34" w:rsidRPr="00731C9A">
        <w:rPr>
          <w:rFonts w:ascii="Simplified Arabic" w:hAnsi="Simplified Arabic" w:cs="Simplified Arabic"/>
          <w:sz w:val="26"/>
          <w:szCs w:val="26"/>
          <w:rtl/>
        </w:rPr>
        <w:t>يعملون</w:t>
      </w:r>
      <w:r w:rsidR="00D92DE1" w:rsidRPr="00731C9A">
        <w:rPr>
          <w:rFonts w:ascii="Simplified Arabic" w:hAnsi="Simplified Arabic" w:cs="Simplified Arabic"/>
          <w:sz w:val="26"/>
          <w:szCs w:val="26"/>
          <w:rtl/>
        </w:rPr>
        <w:t xml:space="preserve"> </w:t>
      </w:r>
      <w:r w:rsidR="009A1B34"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9A1B34"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009A1B34" w:rsidRPr="00731C9A">
        <w:rPr>
          <w:rFonts w:ascii="Simplified Arabic" w:hAnsi="Simplified Arabic" w:cs="Simplified Arabic"/>
          <w:sz w:val="26"/>
          <w:szCs w:val="26"/>
          <w:rtl/>
        </w:rPr>
        <w:t>الخاص</w:t>
      </w:r>
      <w:r w:rsidR="001055D6"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مقابل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3B6E2B" w:rsidRPr="00731C9A">
        <w:rPr>
          <w:rFonts w:ascii="Simplified Arabic" w:hAnsi="Simplified Arabic" w:cs="Simplified Arabic"/>
          <w:sz w:val="26"/>
          <w:szCs w:val="26"/>
        </w:rPr>
        <w:t>2</w:t>
      </w:r>
      <w:r w:rsidR="00F76356" w:rsidRPr="00731C9A">
        <w:rPr>
          <w:rFonts w:ascii="Simplified Arabic" w:hAnsi="Simplified Arabic" w:cs="Simplified Arabic"/>
          <w:sz w:val="26"/>
          <w:szCs w:val="26"/>
        </w:rPr>
        <w:t>8</w:t>
      </w:r>
      <w:r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يعملون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الحكومي</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وحوالي</w:t>
      </w:r>
      <w:r w:rsidR="00D92DE1" w:rsidRPr="00731C9A">
        <w:rPr>
          <w:rFonts w:ascii="Simplified Arabic" w:hAnsi="Simplified Arabic" w:cs="Simplified Arabic"/>
          <w:sz w:val="26"/>
          <w:szCs w:val="26"/>
          <w:rtl/>
        </w:rPr>
        <w:t xml:space="preserve"> </w:t>
      </w:r>
      <w:r w:rsidR="00B5630D" w:rsidRPr="00731C9A">
        <w:rPr>
          <w:rFonts w:ascii="Simplified Arabic" w:hAnsi="Simplified Arabic" w:cs="Simplified Arabic"/>
          <w:sz w:val="26"/>
          <w:szCs w:val="26"/>
        </w:rPr>
        <w:t>7</w:t>
      </w:r>
      <w:r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يعملون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إسرائيل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والمستعمرات</w:t>
      </w:r>
      <w:r w:rsidR="00D92DE1" w:rsidRPr="00731C9A">
        <w:rPr>
          <w:rFonts w:ascii="Simplified Arabic" w:hAnsi="Simplified Arabic" w:cs="Simplified Arabic"/>
          <w:sz w:val="26"/>
          <w:szCs w:val="26"/>
          <w:rtl/>
        </w:rPr>
        <w:t xml:space="preserve"> </w:t>
      </w:r>
      <w:r w:rsidR="00605A7F"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ال</w:t>
      </w:r>
      <w:r w:rsidR="00B5630D" w:rsidRPr="00731C9A">
        <w:rPr>
          <w:rFonts w:ascii="Simplified Arabic" w:hAnsi="Simplified Arabic" w:cs="Simplified Arabic"/>
          <w:sz w:val="26"/>
          <w:szCs w:val="26"/>
          <w:rtl/>
        </w:rPr>
        <w:t>عام</w:t>
      </w:r>
      <w:r w:rsidR="00D92DE1" w:rsidRPr="00731C9A">
        <w:rPr>
          <w:rFonts w:ascii="Simplified Arabic" w:hAnsi="Simplified Arabic" w:cs="Simplified Arabic"/>
          <w:sz w:val="26"/>
          <w:szCs w:val="26"/>
          <w:rtl/>
        </w:rPr>
        <w:t xml:space="preserve"> </w:t>
      </w:r>
      <w:r w:rsidR="00B5630D" w:rsidRPr="00731C9A">
        <w:rPr>
          <w:rFonts w:ascii="Simplified Arabic" w:hAnsi="Simplified Arabic" w:cs="Simplified Arabic"/>
          <w:sz w:val="26"/>
          <w:szCs w:val="26"/>
          <w:rtl/>
        </w:rPr>
        <w:t>2024.</w:t>
      </w:r>
    </w:p>
    <w:p w:rsidR="001055D6" w:rsidRPr="00731C9A" w:rsidRDefault="001055D6" w:rsidP="001055D6">
      <w:pPr>
        <w:widowControl w:val="0"/>
        <w:jc w:val="lowKashida"/>
        <w:rPr>
          <w:rFonts w:ascii="Simplified Arabic" w:hAnsi="Simplified Arabic" w:cs="Simplified Arabic"/>
          <w:color w:val="000000"/>
          <w:sz w:val="8"/>
          <w:szCs w:val="8"/>
          <w:rtl/>
        </w:rPr>
      </w:pPr>
    </w:p>
    <w:p w:rsidR="00FE5F65" w:rsidRPr="00731C9A" w:rsidRDefault="00FE5F65" w:rsidP="00B201CA">
      <w:pPr>
        <w:ind w:hanging="7"/>
        <w:jc w:val="center"/>
        <w:rPr>
          <w:rFonts w:cs="Simplified Arabic"/>
          <w:b/>
          <w:bCs/>
          <w:sz w:val="28"/>
          <w:szCs w:val="28"/>
          <w:rtl/>
        </w:rPr>
      </w:pPr>
      <w:r w:rsidRPr="00731C9A">
        <w:rPr>
          <w:rFonts w:cs="Simplified Arabic" w:hint="cs"/>
          <w:b/>
          <w:bCs/>
          <w:sz w:val="28"/>
          <w:szCs w:val="28"/>
          <w:rtl/>
        </w:rPr>
        <w:t>التوزيع</w:t>
      </w:r>
      <w:r w:rsidR="00D92DE1" w:rsidRPr="00731C9A">
        <w:rPr>
          <w:rFonts w:cs="Simplified Arabic" w:hint="cs"/>
          <w:b/>
          <w:bCs/>
          <w:sz w:val="28"/>
          <w:szCs w:val="28"/>
          <w:rtl/>
        </w:rPr>
        <w:t xml:space="preserve"> </w:t>
      </w:r>
      <w:r w:rsidRPr="00731C9A">
        <w:rPr>
          <w:rFonts w:cs="Simplified Arabic" w:hint="cs"/>
          <w:b/>
          <w:bCs/>
          <w:sz w:val="28"/>
          <w:szCs w:val="28"/>
          <w:rtl/>
        </w:rPr>
        <w:t>النسبي</w:t>
      </w:r>
      <w:r w:rsidR="00D92DE1" w:rsidRPr="00731C9A">
        <w:rPr>
          <w:rFonts w:cs="Simplified Arabic" w:hint="cs"/>
          <w:b/>
          <w:bCs/>
          <w:sz w:val="28"/>
          <w:szCs w:val="28"/>
          <w:rtl/>
        </w:rPr>
        <w:t xml:space="preserve"> </w:t>
      </w:r>
      <w:r w:rsidRPr="00731C9A">
        <w:rPr>
          <w:rFonts w:cs="Simplified Arabic" w:hint="cs"/>
          <w:b/>
          <w:bCs/>
          <w:sz w:val="28"/>
          <w:szCs w:val="28"/>
          <w:rtl/>
        </w:rPr>
        <w:t>للمستخدمين</w:t>
      </w:r>
      <w:r w:rsidR="00D92DE1" w:rsidRPr="00731C9A">
        <w:rPr>
          <w:rFonts w:cs="Simplified Arabic" w:hint="cs"/>
          <w:b/>
          <w:bCs/>
          <w:sz w:val="28"/>
          <w:szCs w:val="28"/>
          <w:rtl/>
        </w:rPr>
        <w:t xml:space="preserve"> </w:t>
      </w:r>
      <w:r w:rsidRPr="00731C9A">
        <w:rPr>
          <w:rFonts w:cs="Simplified Arabic" w:hint="cs"/>
          <w:b/>
          <w:bCs/>
          <w:sz w:val="28"/>
          <w:szCs w:val="28"/>
          <w:rtl/>
        </w:rPr>
        <w:t>بأجر</w:t>
      </w:r>
      <w:r w:rsidR="00D92DE1" w:rsidRPr="00731C9A">
        <w:rPr>
          <w:rFonts w:cs="Simplified Arabic" w:hint="cs"/>
          <w:b/>
          <w:bCs/>
          <w:sz w:val="28"/>
          <w:szCs w:val="28"/>
          <w:rtl/>
        </w:rPr>
        <w:t xml:space="preserve"> </w:t>
      </w:r>
      <w:r w:rsidRPr="00731C9A">
        <w:rPr>
          <w:rFonts w:cs="Simplified Arabic" w:hint="cs"/>
          <w:b/>
          <w:bCs/>
          <w:sz w:val="28"/>
          <w:szCs w:val="28"/>
          <w:rtl/>
        </w:rPr>
        <w:t>من</w:t>
      </w:r>
      <w:r w:rsidR="00D92DE1" w:rsidRPr="00731C9A">
        <w:rPr>
          <w:rFonts w:cs="Simplified Arabic" w:hint="cs"/>
          <w:b/>
          <w:bCs/>
          <w:sz w:val="28"/>
          <w:szCs w:val="28"/>
          <w:rtl/>
        </w:rPr>
        <w:t xml:space="preserve"> </w:t>
      </w:r>
      <w:r w:rsidRPr="00731C9A">
        <w:rPr>
          <w:rFonts w:cs="Simplified Arabic" w:hint="cs"/>
          <w:b/>
          <w:bCs/>
          <w:sz w:val="28"/>
          <w:szCs w:val="28"/>
          <w:rtl/>
        </w:rPr>
        <w:t>الضفة</w:t>
      </w:r>
      <w:r w:rsidR="00D92DE1" w:rsidRPr="00731C9A">
        <w:rPr>
          <w:rFonts w:cs="Simplified Arabic" w:hint="cs"/>
          <w:b/>
          <w:bCs/>
          <w:sz w:val="28"/>
          <w:szCs w:val="28"/>
          <w:rtl/>
        </w:rPr>
        <w:t xml:space="preserve"> </w:t>
      </w:r>
      <w:r w:rsidRPr="00731C9A">
        <w:rPr>
          <w:rFonts w:cs="Simplified Arabic" w:hint="cs"/>
          <w:b/>
          <w:bCs/>
          <w:sz w:val="28"/>
          <w:szCs w:val="28"/>
          <w:rtl/>
        </w:rPr>
        <w:t>الغربية</w:t>
      </w:r>
      <w:r w:rsidR="00D92DE1" w:rsidRPr="00731C9A">
        <w:rPr>
          <w:rFonts w:cs="Simplified Arabic" w:hint="cs"/>
          <w:b/>
          <w:bCs/>
          <w:sz w:val="28"/>
          <w:szCs w:val="28"/>
          <w:rtl/>
        </w:rPr>
        <w:t xml:space="preserve"> </w:t>
      </w:r>
      <w:r w:rsidRPr="00731C9A">
        <w:rPr>
          <w:rFonts w:cs="Simplified Arabic" w:hint="cs"/>
          <w:b/>
          <w:bCs/>
          <w:sz w:val="28"/>
          <w:szCs w:val="28"/>
          <w:rtl/>
        </w:rPr>
        <w:t>حسب</w:t>
      </w:r>
      <w:r w:rsidR="00D92DE1" w:rsidRPr="00731C9A">
        <w:rPr>
          <w:rFonts w:cs="Simplified Arabic" w:hint="cs"/>
          <w:b/>
          <w:bCs/>
          <w:sz w:val="28"/>
          <w:szCs w:val="28"/>
          <w:rtl/>
        </w:rPr>
        <w:t xml:space="preserve"> </w:t>
      </w:r>
      <w:r w:rsidRPr="00731C9A">
        <w:rPr>
          <w:rFonts w:cs="Simplified Arabic" w:hint="cs"/>
          <w:b/>
          <w:bCs/>
          <w:sz w:val="28"/>
          <w:szCs w:val="28"/>
          <w:rtl/>
        </w:rPr>
        <w:t>قطاع</w:t>
      </w:r>
      <w:r w:rsidR="00D92DE1" w:rsidRPr="00731C9A">
        <w:rPr>
          <w:rFonts w:cs="Simplified Arabic" w:hint="cs"/>
          <w:b/>
          <w:bCs/>
          <w:sz w:val="28"/>
          <w:szCs w:val="28"/>
          <w:rtl/>
        </w:rPr>
        <w:t xml:space="preserve"> </w:t>
      </w:r>
      <w:r w:rsidRPr="00731C9A">
        <w:rPr>
          <w:rFonts w:cs="Simplified Arabic" w:hint="cs"/>
          <w:b/>
          <w:bCs/>
          <w:sz w:val="28"/>
          <w:szCs w:val="28"/>
          <w:rtl/>
        </w:rPr>
        <w:t>العمل،</w:t>
      </w:r>
      <w:r w:rsidR="00D92DE1" w:rsidRPr="00731C9A">
        <w:rPr>
          <w:rFonts w:cs="Simplified Arabic" w:hint="cs"/>
          <w:b/>
          <w:bCs/>
          <w:sz w:val="28"/>
          <w:szCs w:val="28"/>
          <w:rtl/>
        </w:rPr>
        <w:t xml:space="preserve"> </w:t>
      </w:r>
      <w:r w:rsidR="00B201CA" w:rsidRPr="00731C9A">
        <w:rPr>
          <w:rFonts w:cs="Simplified Arabic" w:hint="cs"/>
          <w:b/>
          <w:bCs/>
          <w:sz w:val="28"/>
          <w:szCs w:val="28"/>
          <w:rtl/>
        </w:rPr>
        <w:t>2023-2024</w:t>
      </w:r>
    </w:p>
    <w:p w:rsidR="00A0118E" w:rsidRPr="00C346AB" w:rsidRDefault="00A0118E" w:rsidP="001F2403">
      <w:pPr>
        <w:ind w:hanging="7"/>
        <w:jc w:val="lowKashida"/>
        <w:rPr>
          <w:rFonts w:cs="Simplified Arabic"/>
          <w:sz w:val="4"/>
          <w:szCs w:val="4"/>
          <w:rtl/>
        </w:rPr>
      </w:pPr>
    </w:p>
    <w:tbl>
      <w:tblPr>
        <w:bidiVisual/>
        <w:tblW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551"/>
      </w:tblGrid>
      <w:tr w:rsidR="00FE5F65" w:rsidRPr="000A1E16" w:rsidTr="001055D6">
        <w:trPr>
          <w:trHeight w:val="1927"/>
        </w:trPr>
        <w:tc>
          <w:tcPr>
            <w:tcW w:w="5043" w:type="dxa"/>
          </w:tcPr>
          <w:p w:rsidR="00FE5F65" w:rsidRPr="00C346AB" w:rsidRDefault="003F665D" w:rsidP="000A1E16">
            <w:pPr>
              <w:jc w:val="lowKashida"/>
              <w:rPr>
                <w:rFonts w:cs="Simplified Arabic"/>
                <w:sz w:val="2"/>
                <w:szCs w:val="2"/>
                <w:rtl/>
              </w:rPr>
            </w:pPr>
            <w:r w:rsidRPr="00BF4A21">
              <w:rPr>
                <w:rFonts w:cs="Simplified Arabic"/>
                <w:noProof/>
                <w:sz w:val="16"/>
                <w:szCs w:val="16"/>
                <w:lang w:eastAsia="en-US"/>
              </w:rPr>
              <w:drawing>
                <wp:inline distT="0" distB="0" distL="0" distR="0">
                  <wp:extent cx="3067050" cy="15049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0" w:type="auto"/>
          </w:tcPr>
          <w:p w:rsidR="00FE5F65" w:rsidRPr="000A1E16" w:rsidRDefault="003F665D" w:rsidP="000A1E16">
            <w:pPr>
              <w:jc w:val="lowKashida"/>
              <w:rPr>
                <w:rFonts w:cs="Simplified Arabic"/>
                <w:sz w:val="12"/>
                <w:szCs w:val="12"/>
                <w:rtl/>
              </w:rPr>
            </w:pPr>
            <w:r w:rsidRPr="000A1E16">
              <w:rPr>
                <w:rFonts w:cs="Simplified Arabic"/>
                <w:noProof/>
                <w:sz w:val="12"/>
                <w:szCs w:val="12"/>
                <w:lang w:eastAsia="en-US"/>
              </w:rPr>
              <w:drawing>
                <wp:inline distT="0" distB="0" distL="0" distR="0">
                  <wp:extent cx="2752725" cy="18288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5F65" w:rsidRPr="000A1E16" w:rsidRDefault="003F665D" w:rsidP="000A1E16">
            <w:pPr>
              <w:jc w:val="lowKashida"/>
              <w:rPr>
                <w:rFonts w:cs="Simplified Arabic"/>
                <w:sz w:val="12"/>
                <w:szCs w:val="12"/>
                <w:rtl/>
              </w:rPr>
            </w:pPr>
            <w:r w:rsidRPr="000A1E16">
              <w:rPr>
                <w:rFonts w:cs="Simplified Arabic"/>
                <w:noProof/>
                <w:sz w:val="12"/>
                <w:szCs w:val="12"/>
                <w:lang w:eastAsia="en-US"/>
              </w:rPr>
              <w:drawing>
                <wp:inline distT="0" distB="0" distL="0" distR="0">
                  <wp:extent cx="2752725" cy="18288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1055D6" w:rsidRPr="00731C9A" w:rsidRDefault="001055D6" w:rsidP="001055D6">
      <w:pPr>
        <w:widowControl w:val="0"/>
        <w:jc w:val="lowKashida"/>
        <w:rPr>
          <w:rFonts w:ascii="Simplified Arabic" w:hAnsi="Simplified Arabic" w:cs="Simplified Arabic"/>
          <w:color w:val="000000"/>
          <w:sz w:val="12"/>
          <w:szCs w:val="12"/>
          <w:rtl/>
        </w:rPr>
      </w:pPr>
    </w:p>
    <w:p w:rsidR="00C346AB" w:rsidRPr="00731C9A" w:rsidRDefault="00C346AB" w:rsidP="00C346AB">
      <w:pPr>
        <w:pStyle w:val="Heading2"/>
        <w:jc w:val="both"/>
        <w:rPr>
          <w:rFonts w:ascii="Simplified Arabic" w:hAnsi="Simplified Arabic"/>
          <w:sz w:val="28"/>
          <w:szCs w:val="28"/>
          <w:rtl/>
        </w:rPr>
      </w:pPr>
      <w:r w:rsidRPr="00731C9A">
        <w:rPr>
          <w:rFonts w:ascii="Simplified Arabic" w:hAnsi="Simplified Arabic"/>
          <w:sz w:val="28"/>
          <w:szCs w:val="28"/>
          <w:rtl/>
        </w:rPr>
        <w:t>أكثر</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من</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ربع</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المستخدمين</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بأجر</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في</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القطاع</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الخاص</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في</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الضفة</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الغربية</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يعملون</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في</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مهنة</w:t>
      </w:r>
      <w:r w:rsidR="00D92DE1" w:rsidRPr="00731C9A">
        <w:rPr>
          <w:rFonts w:ascii="Simplified Arabic" w:hAnsi="Simplified Arabic"/>
          <w:sz w:val="28"/>
          <w:szCs w:val="28"/>
          <w:rtl/>
        </w:rPr>
        <w:t xml:space="preserve"> </w:t>
      </w:r>
      <w:r w:rsidRPr="00731C9A">
        <w:rPr>
          <w:rFonts w:ascii="Simplified Arabic" w:hAnsi="Simplified Arabic"/>
          <w:sz w:val="28"/>
          <w:szCs w:val="28"/>
          <w:rtl/>
        </w:rPr>
        <w:t>الفنيين</w:t>
      </w:r>
      <w:r w:rsidR="00D92DE1" w:rsidRPr="00731C9A">
        <w:rPr>
          <w:rFonts w:ascii="Simplified Arabic" w:hAnsi="Simplified Arabic"/>
          <w:sz w:val="28"/>
          <w:szCs w:val="28"/>
          <w:rtl/>
        </w:rPr>
        <w:t xml:space="preserve"> </w:t>
      </w:r>
      <w:r w:rsidRPr="00731C9A">
        <w:rPr>
          <w:rFonts w:ascii="Simplified Arabic" w:hAnsi="Simplified Arabic"/>
          <w:sz w:val="28"/>
          <w:szCs w:val="28"/>
          <w:rtl/>
        </w:rPr>
        <w:t>والمتخصصين</w:t>
      </w:r>
    </w:p>
    <w:p w:rsidR="00C346AB" w:rsidRPr="00731C9A" w:rsidRDefault="00C346AB" w:rsidP="00C346AB">
      <w:pPr>
        <w:jc w:val="lowKashida"/>
        <w:rPr>
          <w:rFonts w:ascii="Simplified Arabic" w:hAnsi="Simplified Arabic" w:cs="Simplified Arabic"/>
          <w:sz w:val="26"/>
          <w:szCs w:val="26"/>
        </w:rPr>
      </w:pPr>
      <w:r w:rsidRPr="00731C9A">
        <w:rPr>
          <w:rFonts w:ascii="Simplified Arabic" w:hAnsi="Simplified Arabic" w:cs="Simplified Arabic"/>
          <w:sz w:val="26"/>
          <w:szCs w:val="26"/>
          <w:rtl/>
        </w:rPr>
        <w:t>بلغت</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نسبة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المستخدمين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الذين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يعملون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مهنة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الفنيين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والمتخصصين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الخاص</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28%</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مجموع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العاملين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الخاص؛</w:t>
      </w:r>
      <w:r w:rsidR="00D92DE1" w:rsidRPr="00731C9A">
        <w:rPr>
          <w:rFonts w:ascii="Simplified Arabic" w:hAnsi="Simplified Arabic" w:cs="Simplified Arabic"/>
          <w:sz w:val="26"/>
          <w:szCs w:val="26"/>
          <w:rtl/>
        </w:rPr>
        <w:t xml:space="preserve"> </w:t>
      </w:r>
      <w:r w:rsidR="001055D6" w:rsidRPr="00731C9A">
        <w:rPr>
          <w:rFonts w:ascii="Simplified Arabic" w:hAnsi="Simplified Arabic" w:cs="Simplified Arabic"/>
          <w:sz w:val="26"/>
          <w:szCs w:val="26"/>
          <w:rtl/>
        </w:rPr>
        <w:t xml:space="preserve">بواقع </w:t>
      </w:r>
      <w:r w:rsidRPr="00731C9A">
        <w:rPr>
          <w:rFonts w:ascii="Simplified Arabic" w:hAnsi="Simplified Arabic" w:cs="Simplified Arabic"/>
          <w:sz w:val="26"/>
          <w:szCs w:val="26"/>
          <w:rtl/>
        </w:rPr>
        <w:t>17%</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للذكور</w:t>
      </w:r>
      <w:r w:rsidR="001055D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مقابل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69%</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للإناث.</w:t>
      </w:r>
    </w:p>
    <w:p w:rsidR="001055D6" w:rsidRPr="00731C9A" w:rsidRDefault="001055D6" w:rsidP="001055D6">
      <w:pPr>
        <w:widowControl w:val="0"/>
        <w:jc w:val="lowKashida"/>
        <w:rPr>
          <w:rFonts w:ascii="Simplified Arabic" w:hAnsi="Simplified Arabic" w:cs="Simplified Arabic"/>
          <w:color w:val="000000"/>
          <w:sz w:val="12"/>
          <w:szCs w:val="12"/>
          <w:rtl/>
        </w:rPr>
      </w:pPr>
    </w:p>
    <w:p w:rsidR="00C638C4" w:rsidRPr="00731C9A" w:rsidRDefault="00C638C4" w:rsidP="00E42639">
      <w:pPr>
        <w:ind w:right="-360"/>
        <w:jc w:val="lowKashida"/>
        <w:rPr>
          <w:rFonts w:ascii="Simplified Arabic" w:hAnsi="Simplified Arabic" w:cs="Simplified Arabic"/>
          <w:b/>
          <w:bCs/>
          <w:sz w:val="28"/>
          <w:szCs w:val="28"/>
          <w:rtl/>
        </w:rPr>
      </w:pPr>
      <w:r w:rsidRPr="00731C9A">
        <w:rPr>
          <w:rFonts w:ascii="Simplified Arabic" w:hAnsi="Simplified Arabic" w:cs="Simplified Arabic"/>
          <w:b/>
          <w:bCs/>
          <w:sz w:val="28"/>
          <w:szCs w:val="28"/>
          <w:rtl/>
        </w:rPr>
        <w:t>أكثر</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من</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نصف</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العاملين</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في</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الضفة</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الغربية</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ضمن</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العمالة</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غير</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المنظمة</w:t>
      </w:r>
    </w:p>
    <w:p w:rsidR="00C638C4" w:rsidRPr="00731C9A" w:rsidRDefault="00C638C4" w:rsidP="00DB3905">
      <w:pPr>
        <w:ind w:right="-360"/>
        <w:jc w:val="lowKashida"/>
        <w:rPr>
          <w:rFonts w:ascii="Simplified Arabic" w:hAnsi="Simplified Arabic" w:cs="Simplified Arabic"/>
          <w:color w:val="000000"/>
          <w:sz w:val="26"/>
          <w:szCs w:val="26"/>
        </w:rPr>
      </w:pPr>
      <w:r w:rsidRPr="00731C9A">
        <w:rPr>
          <w:rFonts w:ascii="Simplified Arabic" w:hAnsi="Simplified Arabic" w:cs="Simplified Arabic"/>
          <w:color w:val="000000"/>
          <w:sz w:val="26"/>
          <w:szCs w:val="26"/>
          <w:rtl/>
        </w:rPr>
        <w:t>بلغت</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نسبة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العمالة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غير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المنظمة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009238F7" w:rsidRPr="00731C9A">
        <w:rPr>
          <w:rFonts w:ascii="Simplified Arabic" w:hAnsi="Simplified Arabic" w:cs="Simplified Arabic"/>
          <w:color w:val="000000"/>
          <w:sz w:val="26"/>
          <w:szCs w:val="26"/>
          <w:rtl/>
        </w:rPr>
        <w:t>61</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الضفة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الغربية</w:t>
      </w:r>
      <w:r w:rsidR="00D92DE1" w:rsidRPr="00731C9A">
        <w:rPr>
          <w:rFonts w:ascii="Simplified Arabic" w:hAnsi="Simplified Arabic" w:cs="Simplified Arabic"/>
          <w:color w:val="000000"/>
          <w:sz w:val="26"/>
          <w:szCs w:val="26"/>
          <w:rtl/>
        </w:rPr>
        <w:t xml:space="preserve"> </w:t>
      </w:r>
      <w:r w:rsidR="008516B3"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1055D6" w:rsidRPr="00731C9A">
        <w:rPr>
          <w:rFonts w:ascii="Simplified Arabic" w:hAnsi="Simplified Arabic" w:cs="Simplified Arabic"/>
          <w:color w:val="000000"/>
          <w:sz w:val="26"/>
          <w:szCs w:val="26"/>
          <w:rtl/>
        </w:rPr>
        <w:t>ال</w:t>
      </w:r>
      <w:r w:rsidR="009238F7" w:rsidRPr="00731C9A">
        <w:rPr>
          <w:rFonts w:ascii="Simplified Arabic" w:hAnsi="Simplified Arabic" w:cs="Simplified Arabic"/>
          <w:color w:val="000000"/>
          <w:sz w:val="26"/>
          <w:szCs w:val="26"/>
          <w:rtl/>
        </w:rPr>
        <w:t>عام</w:t>
      </w:r>
      <w:r w:rsidR="00D92DE1" w:rsidRPr="00731C9A">
        <w:rPr>
          <w:rFonts w:ascii="Simplified Arabic" w:hAnsi="Simplified Arabic" w:cs="Simplified Arabic"/>
          <w:color w:val="000000"/>
          <w:sz w:val="26"/>
          <w:szCs w:val="26"/>
          <w:rtl/>
        </w:rPr>
        <w:t xml:space="preserve"> </w:t>
      </w:r>
      <w:r w:rsidR="009238F7" w:rsidRPr="00731C9A">
        <w:rPr>
          <w:rFonts w:ascii="Simplified Arabic" w:hAnsi="Simplified Arabic" w:cs="Simplified Arabic"/>
          <w:color w:val="000000"/>
          <w:sz w:val="26"/>
          <w:szCs w:val="26"/>
          <w:rtl/>
        </w:rPr>
        <w:t>2024</w:t>
      </w:r>
      <w:r w:rsidR="001055D6"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8516B3" w:rsidRPr="00731C9A">
        <w:rPr>
          <w:rFonts w:ascii="Simplified Arabic" w:hAnsi="Simplified Arabic" w:cs="Simplified Arabic"/>
          <w:color w:val="000000"/>
          <w:sz w:val="26"/>
          <w:szCs w:val="26"/>
          <w:rtl/>
        </w:rPr>
        <w:t>مقارنة</w:t>
      </w:r>
      <w:r w:rsidR="00D92DE1" w:rsidRPr="00731C9A">
        <w:rPr>
          <w:rFonts w:ascii="Simplified Arabic" w:hAnsi="Simplified Arabic" w:cs="Simplified Arabic"/>
          <w:color w:val="000000"/>
          <w:sz w:val="26"/>
          <w:szCs w:val="26"/>
          <w:rtl/>
        </w:rPr>
        <w:t xml:space="preserve"> </w:t>
      </w:r>
      <w:r w:rsidR="008516B3" w:rsidRPr="00731C9A">
        <w:rPr>
          <w:rFonts w:ascii="Simplified Arabic" w:hAnsi="Simplified Arabic" w:cs="Simplified Arabic"/>
          <w:color w:val="000000"/>
          <w:sz w:val="26"/>
          <w:szCs w:val="26"/>
          <w:rtl/>
        </w:rPr>
        <w:t>مع</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6</w:t>
      </w:r>
      <w:r w:rsidR="009238F7" w:rsidRPr="00731C9A">
        <w:rPr>
          <w:rFonts w:ascii="Simplified Arabic" w:hAnsi="Simplified Arabic" w:cs="Simplified Arabic"/>
          <w:color w:val="000000"/>
          <w:sz w:val="26"/>
          <w:szCs w:val="26"/>
          <w:rtl/>
        </w:rPr>
        <w:t>2</w:t>
      </w:r>
      <w:r w:rsidR="00DE3F05"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1055D6" w:rsidRPr="00731C9A">
        <w:rPr>
          <w:rFonts w:ascii="Simplified Arabic" w:hAnsi="Simplified Arabic" w:cs="Simplified Arabic"/>
          <w:color w:val="000000"/>
          <w:sz w:val="26"/>
          <w:szCs w:val="26"/>
          <w:rtl/>
        </w:rPr>
        <w:t>ال</w:t>
      </w:r>
      <w:r w:rsidR="009238F7" w:rsidRPr="00731C9A">
        <w:rPr>
          <w:rFonts w:ascii="Simplified Arabic" w:hAnsi="Simplified Arabic" w:cs="Simplified Arabic"/>
          <w:color w:val="000000"/>
          <w:sz w:val="26"/>
          <w:szCs w:val="26"/>
          <w:rtl/>
        </w:rPr>
        <w:t>عام</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2023</w:t>
      </w:r>
      <w:r w:rsidR="00D92DE1" w:rsidRPr="00731C9A">
        <w:rPr>
          <w:rFonts w:ascii="Simplified Arabic" w:hAnsi="Simplified Arabic" w:cs="Simplified Arabic"/>
          <w:color w:val="000000"/>
          <w:sz w:val="26"/>
          <w:szCs w:val="26"/>
          <w:rtl/>
        </w:rPr>
        <w:t xml:space="preserve"> </w:t>
      </w:r>
      <w:r w:rsidR="00511B78" w:rsidRPr="00731C9A">
        <w:rPr>
          <w:rFonts w:ascii="Simplified Arabic" w:eastAsia="Calibri" w:hAnsi="Simplified Arabic" w:cs="Simplified Arabic"/>
          <w:color w:val="000000"/>
          <w:sz w:val="26"/>
          <w:szCs w:val="26"/>
          <w:rtl/>
          <w:lang w:eastAsia="en-US"/>
        </w:rPr>
        <w:t>(</w:t>
      </w:r>
      <w:r w:rsidR="00776173" w:rsidRPr="00731C9A">
        <w:rPr>
          <w:rFonts w:ascii="Simplified Arabic" w:eastAsia="Calibri" w:hAnsi="Simplified Arabic" w:cs="Simplified Arabic"/>
          <w:color w:val="000000"/>
          <w:sz w:val="26"/>
          <w:szCs w:val="26"/>
          <w:rtl/>
          <w:lang w:eastAsia="en-US"/>
        </w:rPr>
        <w:t xml:space="preserve">أي </w:t>
      </w:r>
      <w:r w:rsidR="00511B78" w:rsidRPr="00731C9A">
        <w:rPr>
          <w:rFonts w:ascii="Simplified Arabic" w:eastAsia="Calibri" w:hAnsi="Simplified Arabic" w:cs="Simplified Arabic"/>
          <w:color w:val="000000"/>
          <w:sz w:val="26"/>
          <w:szCs w:val="26"/>
          <w:rtl/>
          <w:lang w:eastAsia="en-US"/>
        </w:rPr>
        <w:t>العاملين</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في</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القطاع</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غير</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المنظم</w:t>
      </w:r>
      <w:r w:rsidR="00776173" w:rsidRPr="00731C9A">
        <w:rPr>
          <w:rFonts w:ascii="Simplified Arabic" w:eastAsia="Calibri" w:hAnsi="Simplified Arabic" w:cs="Simplified Arabic"/>
          <w:color w:val="000000"/>
          <w:sz w:val="26"/>
          <w:szCs w:val="26"/>
          <w:rtl/>
          <w:lang w:eastAsia="en-US"/>
        </w:rPr>
        <w:t>،</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إضافة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إلى</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المستخدمين</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ب</w:t>
      </w:r>
      <w:r w:rsidR="00776173" w:rsidRPr="00731C9A">
        <w:rPr>
          <w:rFonts w:ascii="Simplified Arabic" w:eastAsia="Calibri" w:hAnsi="Simplified Arabic" w:cs="Simplified Arabic"/>
          <w:color w:val="000000"/>
          <w:sz w:val="26"/>
          <w:szCs w:val="26"/>
          <w:rtl/>
          <w:lang w:eastAsia="en-US"/>
        </w:rPr>
        <w:t>أ</w:t>
      </w:r>
      <w:r w:rsidR="00511B78" w:rsidRPr="00731C9A">
        <w:rPr>
          <w:rFonts w:ascii="Simplified Arabic" w:eastAsia="Calibri" w:hAnsi="Simplified Arabic" w:cs="Simplified Arabic"/>
          <w:color w:val="000000"/>
          <w:sz w:val="26"/>
          <w:szCs w:val="26"/>
          <w:rtl/>
          <w:lang w:eastAsia="en-US"/>
        </w:rPr>
        <w:t>جر</w:t>
      </w:r>
      <w:r w:rsidR="00776173" w:rsidRPr="00731C9A">
        <w:rPr>
          <w:rFonts w:ascii="Simplified Arabic" w:eastAsia="Calibri" w:hAnsi="Simplified Arabic" w:cs="Simplified Arabic"/>
          <w:color w:val="000000"/>
          <w:sz w:val="26"/>
          <w:szCs w:val="26"/>
          <w:rtl/>
          <w:lang w:eastAsia="en-US"/>
        </w:rPr>
        <w:t>،</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الذين</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لا</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يحصلون</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على</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أي</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من</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الحقوق</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في</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سوق</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العمل</w:t>
      </w:r>
      <w:r w:rsidR="00776173" w:rsidRPr="00731C9A">
        <w:rPr>
          <w:rFonts w:ascii="Simplified Arabic" w:eastAsia="Calibri" w:hAnsi="Simplified Arabic" w:cs="Simplified Arabic"/>
          <w:color w:val="000000"/>
          <w:sz w:val="26"/>
          <w:szCs w:val="26"/>
          <w:rtl/>
          <w:lang w:eastAsia="en-US"/>
        </w:rPr>
        <w:t>؛</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سواء</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مكافأة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نهاية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الخدمة/تقاعد،</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أو</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إجازة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سنوية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مدفوعة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الأجر،</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أو</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إجازة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مرضية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مدفوعة</w:t>
      </w:r>
      <w:r w:rsidR="00D92DE1" w:rsidRPr="00731C9A">
        <w:rPr>
          <w:rFonts w:ascii="Simplified Arabic" w:eastAsia="Calibri" w:hAnsi="Simplified Arabic" w:cs="Simplified Arabic"/>
          <w:color w:val="000000"/>
          <w:sz w:val="26"/>
          <w:szCs w:val="26"/>
          <w:rtl/>
          <w:lang w:eastAsia="en-US"/>
        </w:rPr>
        <w:t xml:space="preserve"> </w:t>
      </w:r>
      <w:r w:rsidR="00511B78" w:rsidRPr="00731C9A">
        <w:rPr>
          <w:rFonts w:ascii="Simplified Arabic" w:eastAsia="Calibri" w:hAnsi="Simplified Arabic" w:cs="Simplified Arabic"/>
          <w:color w:val="000000"/>
          <w:sz w:val="26"/>
          <w:szCs w:val="26"/>
          <w:rtl/>
          <w:lang w:eastAsia="en-US"/>
        </w:rPr>
        <w:t>الأجر)</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بواقع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6</w:t>
      </w:r>
      <w:r w:rsidR="009238F7" w:rsidRPr="00731C9A">
        <w:rPr>
          <w:rFonts w:ascii="Simplified Arabic" w:hAnsi="Simplified Arabic" w:cs="Simplified Arabic"/>
          <w:color w:val="000000"/>
          <w:sz w:val="26"/>
          <w:szCs w:val="26"/>
          <w:rtl/>
        </w:rPr>
        <w:t>7</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للذكور</w:t>
      </w:r>
      <w:r w:rsidR="00776173"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مقابل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3</w:t>
      </w:r>
      <w:r w:rsidR="009238F7" w:rsidRPr="00731C9A">
        <w:rPr>
          <w:rFonts w:ascii="Simplified Arabic" w:hAnsi="Simplified Arabic" w:cs="Simplified Arabic"/>
          <w:color w:val="000000"/>
          <w:sz w:val="26"/>
          <w:szCs w:val="26"/>
          <w:rtl/>
        </w:rPr>
        <w:t>8</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للإناث،</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كما</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بلغت</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نسبة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العاملين</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غير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المنظم</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الضفة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الغربية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4</w:t>
      </w:r>
      <w:r w:rsidR="009238F7" w:rsidRPr="00731C9A">
        <w:rPr>
          <w:rFonts w:ascii="Simplified Arabic" w:hAnsi="Simplified Arabic" w:cs="Simplified Arabic"/>
          <w:color w:val="000000"/>
          <w:sz w:val="26"/>
          <w:szCs w:val="26"/>
          <w:rtl/>
        </w:rPr>
        <w:t>6</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بواقع</w:t>
      </w:r>
      <w:r w:rsidR="00D92DE1" w:rsidRPr="00731C9A">
        <w:rPr>
          <w:rFonts w:ascii="Simplified Arabic" w:hAnsi="Simplified Arabic" w:cs="Simplified Arabic"/>
          <w:color w:val="000000"/>
          <w:sz w:val="26"/>
          <w:szCs w:val="26"/>
          <w:rtl/>
        </w:rPr>
        <w:t xml:space="preserve"> </w:t>
      </w:r>
      <w:r w:rsidR="004B0C35" w:rsidRPr="00731C9A">
        <w:rPr>
          <w:rFonts w:ascii="Simplified Arabic" w:hAnsi="Simplified Arabic" w:cs="Simplified Arabic"/>
          <w:color w:val="000000"/>
          <w:sz w:val="26"/>
          <w:szCs w:val="26"/>
          <w:rtl/>
        </w:rPr>
        <w:t>52</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للذكور</w:t>
      </w:r>
      <w:r w:rsidR="00D92DE1" w:rsidRPr="00731C9A">
        <w:rPr>
          <w:rFonts w:ascii="Simplified Arabic" w:hAnsi="Simplified Arabic" w:cs="Simplified Arabic"/>
          <w:color w:val="000000"/>
          <w:sz w:val="26"/>
          <w:szCs w:val="26"/>
          <w:rtl/>
        </w:rPr>
        <w:t xml:space="preserve"> </w:t>
      </w:r>
      <w:r w:rsidR="00DB3905" w:rsidRPr="00731C9A">
        <w:rPr>
          <w:rFonts w:ascii="Simplified Arabic" w:hAnsi="Simplified Arabic" w:cs="Simplified Arabic"/>
          <w:color w:val="000000"/>
          <w:sz w:val="26"/>
          <w:szCs w:val="26"/>
          <w:rtl/>
        </w:rPr>
        <w:t>و</w:t>
      </w:r>
      <w:r w:rsidRPr="00731C9A">
        <w:rPr>
          <w:rFonts w:ascii="Simplified Arabic" w:hAnsi="Simplified Arabic" w:cs="Simplified Arabic"/>
          <w:color w:val="000000"/>
          <w:sz w:val="26"/>
          <w:szCs w:val="26"/>
          <w:rtl/>
        </w:rPr>
        <w:t>2</w:t>
      </w:r>
      <w:r w:rsidR="004B0C35" w:rsidRPr="00731C9A">
        <w:rPr>
          <w:rFonts w:ascii="Simplified Arabic" w:hAnsi="Simplified Arabic" w:cs="Simplified Arabic"/>
          <w:color w:val="000000"/>
          <w:sz w:val="26"/>
          <w:szCs w:val="26"/>
          <w:rtl/>
        </w:rPr>
        <w:t>5</w:t>
      </w:r>
      <w:r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للإناث</w:t>
      </w:r>
      <w:r w:rsidR="008516B3"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8516B3" w:rsidRPr="00731C9A">
        <w:rPr>
          <w:rFonts w:ascii="Simplified Arabic" w:hAnsi="Simplified Arabic" w:cs="Simplified Arabic"/>
          <w:color w:val="000000"/>
          <w:sz w:val="26"/>
          <w:szCs w:val="26"/>
          <w:rtl/>
        </w:rPr>
        <w:t>مقابل</w:t>
      </w:r>
      <w:r w:rsidR="00D92DE1" w:rsidRPr="00731C9A">
        <w:rPr>
          <w:rFonts w:ascii="Simplified Arabic" w:hAnsi="Simplified Arabic" w:cs="Simplified Arabic"/>
          <w:color w:val="000000"/>
          <w:sz w:val="26"/>
          <w:szCs w:val="26"/>
          <w:rtl/>
        </w:rPr>
        <w:t xml:space="preserve"> </w:t>
      </w:r>
      <w:r w:rsidR="008516B3" w:rsidRPr="00731C9A">
        <w:rPr>
          <w:rFonts w:ascii="Simplified Arabic" w:hAnsi="Simplified Arabic" w:cs="Simplified Arabic"/>
          <w:color w:val="000000"/>
          <w:sz w:val="26"/>
          <w:szCs w:val="26"/>
          <w:rtl/>
        </w:rPr>
        <w:t>4</w:t>
      </w:r>
      <w:r w:rsidR="004B0C35" w:rsidRPr="00731C9A">
        <w:rPr>
          <w:rFonts w:ascii="Simplified Arabic" w:hAnsi="Simplified Arabic" w:cs="Simplified Arabic"/>
          <w:color w:val="000000"/>
          <w:sz w:val="26"/>
          <w:szCs w:val="26"/>
          <w:rtl/>
        </w:rPr>
        <w:t>7</w:t>
      </w:r>
      <w:r w:rsidR="008516B3"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8516B3"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776173" w:rsidRPr="00731C9A">
        <w:rPr>
          <w:rFonts w:ascii="Simplified Arabic" w:hAnsi="Simplified Arabic" w:cs="Simplified Arabic"/>
          <w:color w:val="000000"/>
          <w:sz w:val="26"/>
          <w:szCs w:val="26"/>
          <w:rtl/>
        </w:rPr>
        <w:t>ال</w:t>
      </w:r>
      <w:r w:rsidR="004B0C35" w:rsidRPr="00731C9A">
        <w:rPr>
          <w:rFonts w:ascii="Simplified Arabic" w:hAnsi="Simplified Arabic" w:cs="Simplified Arabic"/>
          <w:color w:val="000000"/>
          <w:sz w:val="26"/>
          <w:szCs w:val="26"/>
          <w:rtl/>
        </w:rPr>
        <w:t>عام</w:t>
      </w:r>
      <w:r w:rsidR="00D92DE1" w:rsidRPr="00731C9A">
        <w:rPr>
          <w:rFonts w:ascii="Simplified Arabic" w:hAnsi="Simplified Arabic" w:cs="Simplified Arabic"/>
          <w:color w:val="000000"/>
          <w:sz w:val="26"/>
          <w:szCs w:val="26"/>
          <w:rtl/>
        </w:rPr>
        <w:t xml:space="preserve"> </w:t>
      </w:r>
      <w:r w:rsidR="004B0C35" w:rsidRPr="00731C9A">
        <w:rPr>
          <w:rFonts w:ascii="Simplified Arabic" w:hAnsi="Simplified Arabic" w:cs="Simplified Arabic"/>
          <w:color w:val="000000"/>
          <w:sz w:val="26"/>
          <w:szCs w:val="26"/>
          <w:rtl/>
        </w:rPr>
        <w:t>2023.</w:t>
      </w:r>
    </w:p>
    <w:p w:rsidR="00776173" w:rsidRPr="00731C9A" w:rsidRDefault="00776173" w:rsidP="00776173">
      <w:pPr>
        <w:widowControl w:val="0"/>
        <w:jc w:val="lowKashida"/>
        <w:rPr>
          <w:rFonts w:ascii="Simplified Arabic" w:hAnsi="Simplified Arabic" w:cs="Simplified Arabic"/>
          <w:color w:val="000000"/>
          <w:sz w:val="16"/>
          <w:szCs w:val="16"/>
          <w:rtl/>
        </w:rPr>
      </w:pPr>
    </w:p>
    <w:p w:rsidR="00EA364D" w:rsidRPr="00731C9A" w:rsidRDefault="0027770C" w:rsidP="008E63FF">
      <w:pPr>
        <w:ind w:right="-360"/>
        <w:jc w:val="lowKashida"/>
        <w:rPr>
          <w:rFonts w:ascii="Simplified Arabic" w:hAnsi="Simplified Arabic" w:cs="Simplified Arabic"/>
          <w:sz w:val="28"/>
          <w:szCs w:val="28"/>
          <w:rtl/>
        </w:rPr>
      </w:pPr>
      <w:r w:rsidRPr="00731C9A">
        <w:rPr>
          <w:rFonts w:ascii="Simplified Arabic" w:hAnsi="Simplified Arabic" w:cs="Simplified Arabic"/>
          <w:b/>
          <w:bCs/>
          <w:sz w:val="28"/>
          <w:szCs w:val="28"/>
          <w:rtl/>
        </w:rPr>
        <w:lastRenderedPageBreak/>
        <w:t>معدلات</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أجور</w:t>
      </w:r>
      <w:r w:rsidR="00D92DE1" w:rsidRPr="00731C9A">
        <w:rPr>
          <w:rFonts w:ascii="Simplified Arabic" w:hAnsi="Simplified Arabic" w:cs="Simplified Arabic"/>
          <w:b/>
          <w:bCs/>
          <w:sz w:val="28"/>
          <w:szCs w:val="28"/>
          <w:rtl/>
        </w:rPr>
        <w:t xml:space="preserve"> </w:t>
      </w:r>
      <w:r w:rsidR="00992A1F" w:rsidRPr="00731C9A">
        <w:rPr>
          <w:rFonts w:ascii="Simplified Arabic" w:hAnsi="Simplified Arabic" w:cs="Simplified Arabic"/>
          <w:b/>
          <w:bCs/>
          <w:sz w:val="28"/>
          <w:szCs w:val="28"/>
          <w:rtl/>
        </w:rPr>
        <w:t>حقيقية</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متدنية</w:t>
      </w:r>
    </w:p>
    <w:p w:rsidR="00EA364D" w:rsidRPr="00731C9A" w:rsidRDefault="00EA364D" w:rsidP="003B1D8F">
      <w:pPr>
        <w:jc w:val="lowKashida"/>
        <w:rPr>
          <w:rFonts w:ascii="Simplified Arabic" w:hAnsi="Simplified Arabic" w:cs="Simplified Arabic"/>
          <w:color w:val="000000"/>
          <w:sz w:val="26"/>
          <w:szCs w:val="26"/>
        </w:rPr>
      </w:pPr>
      <w:r w:rsidRPr="00731C9A">
        <w:rPr>
          <w:rFonts w:ascii="Simplified Arabic" w:hAnsi="Simplified Arabic" w:cs="Simplified Arabic"/>
          <w:color w:val="000000"/>
          <w:sz w:val="26"/>
          <w:szCs w:val="26"/>
          <w:rtl/>
        </w:rPr>
        <w:t>بلغ</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معدل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الأجر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اليومي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الحقيقي</w:t>
      </w:r>
      <w:r w:rsidR="00D92DE1" w:rsidRPr="00731C9A">
        <w:rPr>
          <w:rFonts w:ascii="Simplified Arabic" w:hAnsi="Simplified Arabic" w:cs="Simplified Arabic"/>
          <w:color w:val="000000"/>
          <w:sz w:val="26"/>
          <w:szCs w:val="26"/>
          <w:rtl/>
        </w:rPr>
        <w:t xml:space="preserve"> </w:t>
      </w:r>
      <w:r w:rsidR="00A0118E" w:rsidRPr="00731C9A">
        <w:rPr>
          <w:rFonts w:ascii="Simplified Arabic" w:hAnsi="Simplified Arabic" w:cs="Simplified Arabic"/>
          <w:color w:val="000000"/>
          <w:sz w:val="26"/>
          <w:szCs w:val="26"/>
          <w:rtl/>
        </w:rPr>
        <w:t>للمستخدمين</w:t>
      </w:r>
      <w:r w:rsidR="00D92DE1" w:rsidRPr="00731C9A">
        <w:rPr>
          <w:rFonts w:ascii="Simplified Arabic" w:hAnsi="Simplified Arabic" w:cs="Simplified Arabic"/>
          <w:color w:val="000000"/>
          <w:sz w:val="26"/>
          <w:szCs w:val="26"/>
          <w:rtl/>
        </w:rPr>
        <w:t xml:space="preserve"> </w:t>
      </w:r>
      <w:r w:rsidR="00A0118E" w:rsidRPr="00731C9A">
        <w:rPr>
          <w:rFonts w:ascii="Simplified Arabic" w:hAnsi="Simplified Arabic" w:cs="Simplified Arabic"/>
          <w:color w:val="000000"/>
          <w:sz w:val="26"/>
          <w:szCs w:val="26"/>
          <w:rtl/>
        </w:rPr>
        <w:t>بأجر</w:t>
      </w:r>
      <w:r w:rsidR="00D92DE1" w:rsidRPr="00731C9A">
        <w:rPr>
          <w:rFonts w:ascii="Simplified Arabic" w:hAnsi="Simplified Arabic" w:cs="Simplified Arabic"/>
          <w:color w:val="000000"/>
          <w:sz w:val="26"/>
          <w:szCs w:val="26"/>
          <w:rtl/>
        </w:rPr>
        <w:t xml:space="preserve"> </w:t>
      </w:r>
      <w:r w:rsidR="00A0118E"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A0118E" w:rsidRPr="00731C9A">
        <w:rPr>
          <w:rFonts w:ascii="Simplified Arabic" w:hAnsi="Simplified Arabic" w:cs="Simplified Arabic"/>
          <w:color w:val="000000"/>
          <w:sz w:val="26"/>
          <w:szCs w:val="26"/>
          <w:rtl/>
        </w:rPr>
        <w:t>القطاع</w:t>
      </w:r>
      <w:r w:rsidR="00D92DE1" w:rsidRPr="00731C9A">
        <w:rPr>
          <w:rFonts w:ascii="Simplified Arabic" w:hAnsi="Simplified Arabic" w:cs="Simplified Arabic"/>
          <w:color w:val="000000"/>
          <w:sz w:val="26"/>
          <w:szCs w:val="26"/>
          <w:rtl/>
        </w:rPr>
        <w:t xml:space="preserve"> </w:t>
      </w:r>
      <w:r w:rsidR="00A0118E" w:rsidRPr="00731C9A">
        <w:rPr>
          <w:rFonts w:ascii="Simplified Arabic" w:hAnsi="Simplified Arabic" w:cs="Simplified Arabic"/>
          <w:color w:val="000000"/>
          <w:sz w:val="26"/>
          <w:szCs w:val="26"/>
          <w:rtl/>
        </w:rPr>
        <w:t>الخاص</w:t>
      </w:r>
      <w:r w:rsidR="00D92DE1" w:rsidRPr="00731C9A">
        <w:rPr>
          <w:rFonts w:ascii="Simplified Arabic" w:hAnsi="Simplified Arabic" w:cs="Simplified Arabic"/>
          <w:color w:val="000000"/>
          <w:sz w:val="26"/>
          <w:szCs w:val="26"/>
          <w:rtl/>
        </w:rPr>
        <w:t xml:space="preserve"> </w:t>
      </w:r>
      <w:r w:rsidR="00982A69"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776173" w:rsidRPr="00731C9A">
        <w:rPr>
          <w:rFonts w:ascii="Simplified Arabic" w:hAnsi="Simplified Arabic" w:cs="Simplified Arabic"/>
          <w:color w:val="000000"/>
          <w:sz w:val="26"/>
          <w:szCs w:val="26"/>
          <w:rtl/>
        </w:rPr>
        <w:t>ال</w:t>
      </w:r>
      <w:r w:rsidR="003B1D8F" w:rsidRPr="00731C9A">
        <w:rPr>
          <w:rFonts w:ascii="Simplified Arabic" w:hAnsi="Simplified Arabic" w:cs="Simplified Arabic"/>
          <w:color w:val="000000"/>
          <w:sz w:val="26"/>
          <w:szCs w:val="26"/>
          <w:rtl/>
        </w:rPr>
        <w:t>عام</w:t>
      </w:r>
      <w:r w:rsidR="00D92DE1" w:rsidRPr="00731C9A">
        <w:rPr>
          <w:rFonts w:ascii="Simplified Arabic" w:hAnsi="Simplified Arabic" w:cs="Simplified Arabic"/>
          <w:color w:val="000000"/>
          <w:sz w:val="26"/>
          <w:szCs w:val="26"/>
          <w:rtl/>
        </w:rPr>
        <w:t xml:space="preserve"> </w:t>
      </w:r>
      <w:r w:rsidR="003B1D8F" w:rsidRPr="00731C9A">
        <w:rPr>
          <w:rFonts w:ascii="Simplified Arabic" w:hAnsi="Simplified Arabic" w:cs="Simplified Arabic"/>
          <w:color w:val="000000"/>
          <w:sz w:val="26"/>
          <w:szCs w:val="26"/>
          <w:rtl/>
        </w:rPr>
        <w:t>2024</w:t>
      </w:r>
      <w:r w:rsidR="00D92DE1" w:rsidRPr="00731C9A">
        <w:rPr>
          <w:rFonts w:ascii="Simplified Arabic" w:hAnsi="Simplified Arabic" w:cs="Simplified Arabic"/>
          <w:color w:val="000000"/>
          <w:sz w:val="26"/>
          <w:szCs w:val="26"/>
          <w:rtl/>
        </w:rPr>
        <w:t xml:space="preserve"> </w:t>
      </w:r>
      <w:r w:rsidR="00C52C52" w:rsidRPr="00731C9A">
        <w:rPr>
          <w:rFonts w:ascii="Simplified Arabic" w:hAnsi="Simplified Arabic" w:cs="Simplified Arabic"/>
          <w:color w:val="000000"/>
          <w:sz w:val="26"/>
          <w:szCs w:val="26"/>
          <w:rtl/>
        </w:rPr>
        <w:t>(سنة</w:t>
      </w:r>
      <w:r w:rsidR="00D92DE1" w:rsidRPr="00731C9A">
        <w:rPr>
          <w:rFonts w:ascii="Simplified Arabic" w:hAnsi="Simplified Arabic" w:cs="Simplified Arabic"/>
          <w:color w:val="000000"/>
          <w:sz w:val="26"/>
          <w:szCs w:val="26"/>
          <w:rtl/>
        </w:rPr>
        <w:t xml:space="preserve"> </w:t>
      </w:r>
      <w:r w:rsidR="00C52C52" w:rsidRPr="00731C9A">
        <w:rPr>
          <w:rFonts w:ascii="Simplified Arabic" w:hAnsi="Simplified Arabic" w:cs="Simplified Arabic"/>
          <w:color w:val="000000"/>
          <w:sz w:val="26"/>
          <w:szCs w:val="26"/>
          <w:rtl/>
        </w:rPr>
        <w:t>الأساس=</w:t>
      </w:r>
      <w:r w:rsidR="00D92DE1" w:rsidRPr="00731C9A">
        <w:rPr>
          <w:rFonts w:ascii="Simplified Arabic" w:hAnsi="Simplified Arabic" w:cs="Simplified Arabic"/>
          <w:color w:val="000000"/>
          <w:sz w:val="26"/>
          <w:szCs w:val="26"/>
          <w:rtl/>
        </w:rPr>
        <w:t xml:space="preserve"> </w:t>
      </w:r>
      <w:r w:rsidR="00C52C52" w:rsidRPr="00731C9A">
        <w:rPr>
          <w:rFonts w:ascii="Simplified Arabic" w:hAnsi="Simplified Arabic" w:cs="Simplified Arabic"/>
          <w:color w:val="000000"/>
          <w:sz w:val="26"/>
          <w:szCs w:val="26"/>
          <w:rtl/>
        </w:rPr>
        <w:t>201</w:t>
      </w:r>
      <w:r w:rsidR="0084531A" w:rsidRPr="00731C9A">
        <w:rPr>
          <w:rFonts w:ascii="Simplified Arabic" w:hAnsi="Simplified Arabic" w:cs="Simplified Arabic"/>
          <w:color w:val="000000"/>
          <w:sz w:val="26"/>
          <w:szCs w:val="26"/>
          <w:rtl/>
        </w:rPr>
        <w:t>8</w:t>
      </w:r>
      <w:r w:rsidR="00C52C52"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00982A69" w:rsidRPr="00731C9A">
        <w:rPr>
          <w:rFonts w:ascii="Simplified Arabic" w:hAnsi="Simplified Arabic" w:cs="Simplified Arabic"/>
          <w:color w:val="000000"/>
          <w:sz w:val="26"/>
          <w:szCs w:val="26"/>
          <w:rtl/>
        </w:rPr>
        <w:t>12</w:t>
      </w:r>
      <w:r w:rsidR="003B1D8F" w:rsidRPr="00731C9A">
        <w:rPr>
          <w:rFonts w:ascii="Simplified Arabic" w:hAnsi="Simplified Arabic" w:cs="Simplified Arabic"/>
          <w:color w:val="000000"/>
          <w:sz w:val="26"/>
          <w:szCs w:val="26"/>
          <w:rtl/>
        </w:rPr>
        <w:t>2</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شي</w:t>
      </w:r>
      <w:r w:rsidR="00776173" w:rsidRPr="00731C9A">
        <w:rPr>
          <w:rFonts w:ascii="Simplified Arabic" w:hAnsi="Simplified Arabic" w:cs="Simplified Arabic"/>
          <w:color w:val="000000"/>
          <w:sz w:val="26"/>
          <w:szCs w:val="26"/>
          <w:rtl/>
        </w:rPr>
        <w:t>ك</w:t>
      </w:r>
      <w:r w:rsidRPr="00731C9A">
        <w:rPr>
          <w:rFonts w:ascii="Simplified Arabic" w:hAnsi="Simplified Arabic" w:cs="Simplified Arabic"/>
          <w:color w:val="000000"/>
          <w:sz w:val="26"/>
          <w:szCs w:val="26"/>
          <w:rtl/>
        </w:rPr>
        <w:t>ل</w:t>
      </w:r>
      <w:r w:rsidR="000D433A" w:rsidRPr="00731C9A">
        <w:rPr>
          <w:rFonts w:ascii="Simplified Arabic" w:hAnsi="Simplified Arabic" w:cs="Simplified Arabic"/>
          <w:color w:val="000000"/>
          <w:sz w:val="26"/>
          <w:szCs w:val="26"/>
          <w:rtl/>
        </w:rPr>
        <w:t>اً</w:t>
      </w:r>
      <w:r w:rsidR="00D92DE1" w:rsidRPr="00731C9A">
        <w:rPr>
          <w:rFonts w:ascii="Simplified Arabic" w:hAnsi="Simplified Arabic" w:cs="Simplified Arabic"/>
          <w:color w:val="000000"/>
          <w:sz w:val="26"/>
          <w:szCs w:val="26"/>
          <w:rtl/>
        </w:rPr>
        <w:t xml:space="preserve"> </w:t>
      </w:r>
      <w:r w:rsidR="00FF304E"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9645B8" w:rsidRPr="00731C9A">
        <w:rPr>
          <w:rFonts w:ascii="Simplified Arabic" w:hAnsi="Simplified Arabic" w:cs="Simplified Arabic"/>
          <w:color w:val="000000"/>
          <w:sz w:val="26"/>
          <w:szCs w:val="26"/>
          <w:rtl/>
        </w:rPr>
        <w:t>الضفة</w:t>
      </w:r>
      <w:r w:rsidR="00D92DE1" w:rsidRPr="00731C9A">
        <w:rPr>
          <w:rFonts w:ascii="Simplified Arabic" w:hAnsi="Simplified Arabic" w:cs="Simplified Arabic"/>
          <w:color w:val="000000"/>
          <w:sz w:val="26"/>
          <w:szCs w:val="26"/>
          <w:rtl/>
        </w:rPr>
        <w:t xml:space="preserve"> </w:t>
      </w:r>
      <w:r w:rsidR="00FD00F3" w:rsidRPr="00731C9A">
        <w:rPr>
          <w:rFonts w:ascii="Simplified Arabic" w:hAnsi="Simplified Arabic" w:cs="Simplified Arabic"/>
          <w:color w:val="000000"/>
          <w:sz w:val="26"/>
          <w:szCs w:val="26"/>
          <w:rtl/>
        </w:rPr>
        <w:t>الغربية</w:t>
      </w:r>
      <w:r w:rsidR="00776173"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مقارنة</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مع</w:t>
      </w:r>
      <w:r w:rsidR="00D92DE1" w:rsidRPr="00731C9A">
        <w:rPr>
          <w:rFonts w:ascii="Simplified Arabic" w:hAnsi="Simplified Arabic" w:cs="Simplified Arabic"/>
          <w:color w:val="000000"/>
          <w:sz w:val="26"/>
          <w:szCs w:val="26"/>
          <w:rtl/>
        </w:rPr>
        <w:t xml:space="preserve"> </w:t>
      </w:r>
      <w:r w:rsidR="003B1D8F" w:rsidRPr="00731C9A">
        <w:rPr>
          <w:rFonts w:ascii="Simplified Arabic" w:hAnsi="Simplified Arabic" w:cs="Simplified Arabic"/>
          <w:color w:val="000000"/>
          <w:sz w:val="26"/>
          <w:szCs w:val="26"/>
          <w:rtl/>
        </w:rPr>
        <w:t>121</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شي</w:t>
      </w:r>
      <w:r w:rsidR="00776173" w:rsidRPr="00731C9A">
        <w:rPr>
          <w:rFonts w:ascii="Simplified Arabic" w:hAnsi="Simplified Arabic" w:cs="Simplified Arabic"/>
          <w:color w:val="000000"/>
          <w:sz w:val="26"/>
          <w:szCs w:val="26"/>
          <w:rtl/>
        </w:rPr>
        <w:t>ك</w:t>
      </w:r>
      <w:r w:rsidR="00DE3F05" w:rsidRPr="00731C9A">
        <w:rPr>
          <w:rFonts w:ascii="Simplified Arabic" w:hAnsi="Simplified Arabic" w:cs="Simplified Arabic"/>
          <w:color w:val="000000"/>
          <w:sz w:val="26"/>
          <w:szCs w:val="26"/>
          <w:rtl/>
        </w:rPr>
        <w:t>لاً</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776173" w:rsidRPr="00731C9A">
        <w:rPr>
          <w:rFonts w:ascii="Simplified Arabic" w:hAnsi="Simplified Arabic" w:cs="Simplified Arabic"/>
          <w:color w:val="000000"/>
          <w:sz w:val="26"/>
          <w:szCs w:val="26"/>
          <w:rtl/>
        </w:rPr>
        <w:t>ال</w:t>
      </w:r>
      <w:r w:rsidR="003B1D8F" w:rsidRPr="00731C9A">
        <w:rPr>
          <w:rFonts w:ascii="Simplified Arabic" w:hAnsi="Simplified Arabic" w:cs="Simplified Arabic"/>
          <w:color w:val="000000"/>
          <w:sz w:val="26"/>
          <w:szCs w:val="26"/>
          <w:rtl/>
        </w:rPr>
        <w:t>عام</w:t>
      </w:r>
      <w:r w:rsidR="00D92DE1" w:rsidRPr="00731C9A">
        <w:rPr>
          <w:rFonts w:ascii="Simplified Arabic" w:hAnsi="Simplified Arabic" w:cs="Simplified Arabic"/>
          <w:color w:val="000000"/>
          <w:sz w:val="26"/>
          <w:szCs w:val="26"/>
          <w:rtl/>
        </w:rPr>
        <w:t xml:space="preserve"> </w:t>
      </w:r>
      <w:r w:rsidR="00DE3F05" w:rsidRPr="00731C9A">
        <w:rPr>
          <w:rFonts w:ascii="Simplified Arabic" w:hAnsi="Simplified Arabic" w:cs="Simplified Arabic"/>
          <w:color w:val="000000"/>
          <w:sz w:val="26"/>
          <w:szCs w:val="26"/>
          <w:rtl/>
        </w:rPr>
        <w:t>2023</w:t>
      </w:r>
      <w:r w:rsidR="00D92DE1" w:rsidRPr="00731C9A">
        <w:rPr>
          <w:rFonts w:ascii="Simplified Arabic" w:hAnsi="Simplified Arabic" w:cs="Simplified Arabic"/>
          <w:color w:val="000000"/>
          <w:sz w:val="26"/>
          <w:szCs w:val="26"/>
          <w:rtl/>
        </w:rPr>
        <w:t xml:space="preserve"> </w:t>
      </w:r>
      <w:r w:rsidR="008E6D68" w:rsidRPr="00731C9A">
        <w:rPr>
          <w:rFonts w:ascii="Simplified Arabic" w:hAnsi="Simplified Arabic" w:cs="Simplified Arabic"/>
          <w:color w:val="000000"/>
          <w:sz w:val="26"/>
          <w:szCs w:val="26"/>
          <w:rtl/>
        </w:rPr>
        <w:t>(</w:t>
      </w:r>
      <w:r w:rsidR="001C0904" w:rsidRPr="00731C9A">
        <w:rPr>
          <w:rFonts w:ascii="Simplified Arabic" w:hAnsi="Simplified Arabic" w:cs="Simplified Arabic"/>
          <w:color w:val="000000"/>
          <w:sz w:val="26"/>
          <w:szCs w:val="26"/>
          <w:rtl/>
        </w:rPr>
        <w:t>لا</w:t>
      </w:r>
      <w:r w:rsidR="00D92DE1" w:rsidRPr="00731C9A">
        <w:rPr>
          <w:rFonts w:ascii="Simplified Arabic" w:hAnsi="Simplified Arabic" w:cs="Simplified Arabic"/>
          <w:color w:val="000000"/>
          <w:sz w:val="26"/>
          <w:szCs w:val="26"/>
          <w:rtl/>
        </w:rPr>
        <w:t xml:space="preserve"> </w:t>
      </w:r>
      <w:r w:rsidR="001C0904" w:rsidRPr="00731C9A">
        <w:rPr>
          <w:rFonts w:ascii="Simplified Arabic" w:hAnsi="Simplified Arabic" w:cs="Simplified Arabic"/>
          <w:color w:val="000000"/>
          <w:sz w:val="26"/>
          <w:szCs w:val="26"/>
          <w:rtl/>
        </w:rPr>
        <w:t>يشمل</w:t>
      </w:r>
      <w:r w:rsidR="00D92DE1" w:rsidRPr="00731C9A">
        <w:rPr>
          <w:rFonts w:ascii="Simplified Arabic" w:hAnsi="Simplified Arabic" w:cs="Simplified Arabic"/>
          <w:color w:val="000000"/>
          <w:sz w:val="26"/>
          <w:szCs w:val="26"/>
          <w:rtl/>
        </w:rPr>
        <w:t xml:space="preserve"> </w:t>
      </w:r>
      <w:r w:rsidR="001C0904" w:rsidRPr="00731C9A">
        <w:rPr>
          <w:rFonts w:ascii="Simplified Arabic" w:hAnsi="Simplified Arabic" w:cs="Simplified Arabic"/>
          <w:color w:val="000000"/>
          <w:sz w:val="26"/>
          <w:szCs w:val="26"/>
          <w:rtl/>
        </w:rPr>
        <w:t>العاملين</w:t>
      </w:r>
      <w:r w:rsidR="00D92DE1" w:rsidRPr="00731C9A">
        <w:rPr>
          <w:rFonts w:ascii="Simplified Arabic" w:hAnsi="Simplified Arabic" w:cs="Simplified Arabic"/>
          <w:color w:val="000000"/>
          <w:sz w:val="26"/>
          <w:szCs w:val="26"/>
          <w:rtl/>
        </w:rPr>
        <w:t xml:space="preserve"> </w:t>
      </w:r>
      <w:r w:rsidR="001C0904"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00776173" w:rsidRPr="00731C9A">
        <w:rPr>
          <w:rFonts w:ascii="Simplified Arabic" w:hAnsi="Simplified Arabic" w:cs="Simplified Arabic"/>
          <w:color w:val="000000"/>
          <w:sz w:val="26"/>
          <w:szCs w:val="26"/>
          <w:rtl/>
        </w:rPr>
        <w:t>إسرائيل</w:t>
      </w:r>
      <w:r w:rsidR="00D92DE1" w:rsidRPr="00731C9A">
        <w:rPr>
          <w:rFonts w:ascii="Simplified Arabic" w:hAnsi="Simplified Arabic" w:cs="Simplified Arabic"/>
          <w:color w:val="000000"/>
          <w:sz w:val="26"/>
          <w:szCs w:val="26"/>
          <w:rtl/>
        </w:rPr>
        <w:t xml:space="preserve"> </w:t>
      </w:r>
      <w:r w:rsidR="001C0904" w:rsidRPr="00731C9A">
        <w:rPr>
          <w:rFonts w:ascii="Simplified Arabic" w:hAnsi="Simplified Arabic" w:cs="Simplified Arabic"/>
          <w:color w:val="000000"/>
          <w:sz w:val="26"/>
          <w:szCs w:val="26"/>
          <w:rtl/>
        </w:rPr>
        <w:t>و</w:t>
      </w:r>
      <w:r w:rsidR="00527F62" w:rsidRPr="00731C9A">
        <w:rPr>
          <w:rFonts w:ascii="Simplified Arabic" w:hAnsi="Simplified Arabic" w:cs="Simplified Arabic"/>
          <w:color w:val="000000"/>
          <w:sz w:val="26"/>
          <w:szCs w:val="26"/>
          <w:rtl/>
        </w:rPr>
        <w:t>المستعمرات</w:t>
      </w:r>
      <w:r w:rsidR="001C0904" w:rsidRPr="00731C9A">
        <w:rPr>
          <w:rFonts w:ascii="Simplified Arabic" w:hAnsi="Simplified Arabic" w:cs="Simplified Arabic"/>
          <w:color w:val="000000"/>
          <w:sz w:val="26"/>
          <w:szCs w:val="26"/>
          <w:rtl/>
        </w:rPr>
        <w:t>)</w:t>
      </w:r>
      <w:r w:rsidR="009645B8" w:rsidRPr="00731C9A">
        <w:rPr>
          <w:rFonts w:ascii="Simplified Arabic" w:hAnsi="Simplified Arabic" w:cs="Simplified Arabic"/>
          <w:color w:val="000000"/>
          <w:sz w:val="26"/>
          <w:szCs w:val="26"/>
          <w:rtl/>
        </w:rPr>
        <w:t>.</w:t>
      </w:r>
    </w:p>
    <w:p w:rsidR="00776173" w:rsidRPr="00731C9A" w:rsidRDefault="00776173" w:rsidP="00776173">
      <w:pPr>
        <w:widowControl w:val="0"/>
        <w:jc w:val="lowKashida"/>
        <w:rPr>
          <w:rFonts w:ascii="Simplified Arabic" w:hAnsi="Simplified Arabic" w:cs="Simplified Arabic"/>
          <w:color w:val="000000"/>
          <w:sz w:val="16"/>
          <w:szCs w:val="16"/>
          <w:rtl/>
        </w:rPr>
      </w:pPr>
    </w:p>
    <w:p w:rsidR="00C346AB" w:rsidRPr="00731C9A" w:rsidRDefault="00C346AB" w:rsidP="00C346AB">
      <w:pPr>
        <w:jc w:val="lowKashida"/>
        <w:rPr>
          <w:rFonts w:ascii="Simplified Arabic" w:hAnsi="Simplified Arabic" w:cs="Simplified Arabic"/>
          <w:color w:val="000000"/>
          <w:sz w:val="26"/>
          <w:szCs w:val="26"/>
          <w:rtl/>
        </w:rPr>
      </w:pPr>
      <w:r w:rsidRPr="00731C9A">
        <w:rPr>
          <w:rFonts w:ascii="Simplified Arabic" w:hAnsi="Simplified Arabic" w:cs="Simplified Arabic"/>
          <w:color w:val="000000"/>
          <w:sz w:val="26"/>
          <w:szCs w:val="26"/>
          <w:rtl/>
        </w:rPr>
        <w:t>سجل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نشاط</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النقل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والتخزين</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والاتصالات</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أعلى</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معدلات</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للأجور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اليومية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الحقيقية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الخاص</w:t>
      </w:r>
      <w:r w:rsidR="00745BC4"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بمعدل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Pr>
        <w:t>166</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شي</w:t>
      </w:r>
      <w:r w:rsidR="00776173" w:rsidRPr="00731C9A">
        <w:rPr>
          <w:rFonts w:ascii="Simplified Arabic" w:hAnsi="Simplified Arabic" w:cs="Simplified Arabic"/>
          <w:color w:val="000000"/>
          <w:sz w:val="26"/>
          <w:szCs w:val="26"/>
          <w:rtl/>
        </w:rPr>
        <w:t>ك</w:t>
      </w:r>
      <w:r w:rsidRPr="00731C9A">
        <w:rPr>
          <w:rFonts w:ascii="Simplified Arabic" w:hAnsi="Simplified Arabic" w:cs="Simplified Arabic"/>
          <w:color w:val="000000"/>
          <w:sz w:val="26"/>
          <w:szCs w:val="26"/>
          <w:rtl/>
        </w:rPr>
        <w:t>لاً</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الضفة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الغربية</w:t>
      </w:r>
      <w:r w:rsidR="00776173"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يليه</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نشاط</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البناء</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والتشييد</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Pr>
        <w:t>141</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شي</w:t>
      </w:r>
      <w:r w:rsidR="00776173" w:rsidRPr="00731C9A">
        <w:rPr>
          <w:rFonts w:ascii="Simplified Arabic" w:hAnsi="Simplified Arabic" w:cs="Simplified Arabic"/>
          <w:color w:val="000000"/>
          <w:sz w:val="26"/>
          <w:szCs w:val="26"/>
          <w:rtl/>
        </w:rPr>
        <w:t>ك</w:t>
      </w:r>
      <w:r w:rsidRPr="00731C9A">
        <w:rPr>
          <w:rFonts w:ascii="Simplified Arabic" w:hAnsi="Simplified Arabic" w:cs="Simplified Arabic"/>
          <w:color w:val="000000"/>
          <w:sz w:val="26"/>
          <w:szCs w:val="26"/>
          <w:rtl/>
        </w:rPr>
        <w:t>لاً،</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بينما</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سجل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نشاط</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الزراعة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أدنى</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معدل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أجر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يومي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حقيقي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بواقع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Pr>
        <w:t>79</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شي</w:t>
      </w:r>
      <w:r w:rsidR="00776173" w:rsidRPr="00731C9A">
        <w:rPr>
          <w:rFonts w:ascii="Simplified Arabic" w:hAnsi="Simplified Arabic" w:cs="Simplified Arabic"/>
          <w:color w:val="000000"/>
          <w:sz w:val="26"/>
          <w:szCs w:val="26"/>
          <w:rtl/>
        </w:rPr>
        <w:t>ك</w:t>
      </w:r>
      <w:r w:rsidRPr="00731C9A">
        <w:rPr>
          <w:rFonts w:ascii="Simplified Arabic" w:hAnsi="Simplified Arabic" w:cs="Simplified Arabic"/>
          <w:color w:val="000000"/>
          <w:sz w:val="26"/>
          <w:szCs w:val="26"/>
          <w:rtl/>
        </w:rPr>
        <w:t>لاً.</w:t>
      </w:r>
    </w:p>
    <w:p w:rsidR="00776173" w:rsidRPr="00731C9A" w:rsidRDefault="00776173" w:rsidP="00776173">
      <w:pPr>
        <w:widowControl w:val="0"/>
        <w:jc w:val="lowKashida"/>
        <w:rPr>
          <w:rFonts w:ascii="Simplified Arabic" w:hAnsi="Simplified Arabic" w:cs="Simplified Arabic"/>
          <w:color w:val="000000"/>
          <w:sz w:val="16"/>
          <w:szCs w:val="16"/>
          <w:rtl/>
        </w:rPr>
      </w:pPr>
    </w:p>
    <w:p w:rsidR="00C346AB" w:rsidRPr="00731C9A" w:rsidRDefault="00C346AB" w:rsidP="00C346AB">
      <w:pPr>
        <w:jc w:val="lowKashida"/>
        <w:rPr>
          <w:rFonts w:ascii="Simplified Arabic" w:hAnsi="Simplified Arabic" w:cs="Simplified Arabic"/>
          <w:color w:val="000000"/>
          <w:sz w:val="26"/>
          <w:szCs w:val="26"/>
          <w:rtl/>
        </w:rPr>
      </w:pP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سياق</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متصل،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بلغ</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معدل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ساعات</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العمل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الأسبوعية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للمستخدمين</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بأجر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حوالي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42</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ساعة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عمل؛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41.6</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ساعة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عمل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للمستخدمين</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بأجر</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العام</w:t>
      </w:r>
      <w:r w:rsidR="00776173" w:rsidRPr="00731C9A">
        <w:rPr>
          <w:rFonts w:ascii="Simplified Arabic" w:hAnsi="Simplified Arabic" w:cs="Simplified Arabic"/>
          <w:color w:val="000000"/>
          <w:sz w:val="26"/>
          <w:szCs w:val="26"/>
          <w:rtl/>
        </w:rPr>
        <w:t>،</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و42.1</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ساعة</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عمل</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في</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القطاع</w:t>
      </w:r>
      <w:r w:rsidR="00D92DE1" w:rsidRPr="00731C9A">
        <w:rPr>
          <w:rFonts w:ascii="Simplified Arabic" w:hAnsi="Simplified Arabic" w:cs="Simplified Arabic"/>
          <w:color w:val="000000"/>
          <w:sz w:val="26"/>
          <w:szCs w:val="26"/>
          <w:rtl/>
        </w:rPr>
        <w:t xml:space="preserve"> </w:t>
      </w:r>
      <w:r w:rsidRPr="00731C9A">
        <w:rPr>
          <w:rFonts w:ascii="Simplified Arabic" w:hAnsi="Simplified Arabic" w:cs="Simplified Arabic"/>
          <w:color w:val="000000"/>
          <w:sz w:val="26"/>
          <w:szCs w:val="26"/>
          <w:rtl/>
        </w:rPr>
        <w:t>الخاص.</w:t>
      </w:r>
    </w:p>
    <w:p w:rsidR="00C346AB" w:rsidRPr="00731C9A" w:rsidRDefault="00C346AB" w:rsidP="006F63B1">
      <w:pPr>
        <w:jc w:val="lowKashida"/>
        <w:rPr>
          <w:rFonts w:cs="Simplified Arabic"/>
          <w:sz w:val="16"/>
          <w:szCs w:val="16"/>
          <w:rtl/>
        </w:rPr>
      </w:pPr>
    </w:p>
    <w:p w:rsidR="00802008" w:rsidRPr="00802008" w:rsidRDefault="00802008" w:rsidP="00802008">
      <w:pPr>
        <w:jc w:val="lowKashida"/>
        <w:rPr>
          <w:rFonts w:cs="Simplified Arabic"/>
          <w:color w:val="000000"/>
          <w:sz w:val="6"/>
          <w:szCs w:val="6"/>
          <w:rtl/>
        </w:rPr>
      </w:pPr>
    </w:p>
    <w:p w:rsidR="00000560" w:rsidRPr="00731C9A" w:rsidRDefault="00000560" w:rsidP="005D3FF5">
      <w:pPr>
        <w:ind w:left="-1" w:right="-180"/>
        <w:rPr>
          <w:rFonts w:ascii="Simplified Arabic" w:hAnsi="Simplified Arabic" w:cs="Simplified Arabic"/>
          <w:b/>
          <w:bCs/>
          <w:color w:val="000000"/>
          <w:sz w:val="28"/>
          <w:szCs w:val="28"/>
          <w:rtl/>
          <w:lang w:eastAsia="en-US"/>
        </w:rPr>
      </w:pPr>
      <w:r w:rsidRPr="00731C9A">
        <w:rPr>
          <w:rFonts w:ascii="Simplified Arabic" w:hAnsi="Simplified Arabic" w:cs="Simplified Arabic"/>
          <w:b/>
          <w:bCs/>
          <w:sz w:val="28"/>
          <w:szCs w:val="28"/>
          <w:rtl/>
        </w:rPr>
        <w:t>1</w:t>
      </w:r>
      <w:r w:rsidR="007D16EF" w:rsidRPr="00731C9A">
        <w:rPr>
          <w:rFonts w:ascii="Simplified Arabic" w:hAnsi="Simplified Arabic" w:cs="Simplified Arabic"/>
          <w:b/>
          <w:bCs/>
          <w:sz w:val="28"/>
          <w:szCs w:val="28"/>
          <w:rtl/>
        </w:rPr>
        <w:t>6</w:t>
      </w:r>
      <w:r w:rsidRPr="00731C9A">
        <w:rPr>
          <w:rFonts w:ascii="Simplified Arabic" w:hAnsi="Simplified Arabic" w:cs="Simplified Arabic"/>
          <w:b/>
          <w:bCs/>
          <w:color w:val="000000"/>
          <w:sz w:val="28"/>
          <w:szCs w:val="28"/>
          <w:rtl/>
          <w:lang w:eastAsia="en-US"/>
        </w:rPr>
        <w:t>%</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من</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المستخدمين</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بأجر</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في</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القطاع</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الخاص</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يتقاضون</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أجراً</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شهرياً</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أقل</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من</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الحد</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الأدنى</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للأجر</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w:t>
      </w:r>
      <w:r w:rsidRPr="00731C9A">
        <w:rPr>
          <w:rFonts w:ascii="Simplified Arabic" w:hAnsi="Simplified Arabic" w:cs="Simplified Arabic"/>
          <w:b/>
          <w:bCs/>
          <w:color w:val="000000"/>
          <w:sz w:val="28"/>
          <w:szCs w:val="28"/>
          <w:lang w:eastAsia="en-US"/>
        </w:rPr>
        <w:t>1,880</w:t>
      </w:r>
      <w:r w:rsidR="00D92DE1" w:rsidRPr="00731C9A">
        <w:rPr>
          <w:rFonts w:ascii="Simplified Arabic" w:hAnsi="Simplified Arabic" w:cs="Simplified Arabic"/>
          <w:b/>
          <w:bCs/>
          <w:color w:val="000000"/>
          <w:sz w:val="28"/>
          <w:szCs w:val="28"/>
          <w:rtl/>
          <w:lang w:eastAsia="en-US"/>
        </w:rPr>
        <w:t xml:space="preserve"> </w:t>
      </w:r>
      <w:proofErr w:type="gramStart"/>
      <w:r w:rsidRPr="00731C9A">
        <w:rPr>
          <w:rFonts w:ascii="Simplified Arabic" w:hAnsi="Simplified Arabic" w:cs="Simplified Arabic"/>
          <w:b/>
          <w:bCs/>
          <w:color w:val="000000"/>
          <w:sz w:val="28"/>
          <w:szCs w:val="28"/>
          <w:rtl/>
          <w:lang w:eastAsia="en-US"/>
        </w:rPr>
        <w:t>شي</w:t>
      </w:r>
      <w:r w:rsidR="00776173" w:rsidRPr="00731C9A">
        <w:rPr>
          <w:rFonts w:ascii="Simplified Arabic" w:hAnsi="Simplified Arabic" w:cs="Simplified Arabic"/>
          <w:b/>
          <w:bCs/>
          <w:color w:val="000000"/>
          <w:sz w:val="28"/>
          <w:szCs w:val="28"/>
          <w:rtl/>
          <w:lang w:eastAsia="en-US"/>
        </w:rPr>
        <w:t>كل</w:t>
      </w:r>
      <w:r w:rsidRPr="00731C9A">
        <w:rPr>
          <w:rFonts w:ascii="Simplified Arabic" w:hAnsi="Simplified Arabic" w:cs="Simplified Arabic"/>
          <w:b/>
          <w:bCs/>
          <w:color w:val="000000"/>
          <w:sz w:val="28"/>
          <w:szCs w:val="28"/>
          <w:rtl/>
          <w:lang w:eastAsia="en-US"/>
        </w:rPr>
        <w:t>اً)</w:t>
      </w:r>
      <w:r w:rsidR="00D92DE1" w:rsidRPr="00731C9A">
        <w:rPr>
          <w:rFonts w:ascii="Simplified Arabic" w:hAnsi="Simplified Arabic" w:cs="Simplified Arabic"/>
          <w:b/>
          <w:bCs/>
          <w:color w:val="000000"/>
          <w:sz w:val="28"/>
          <w:szCs w:val="28"/>
          <w:rtl/>
          <w:lang w:eastAsia="en-US"/>
        </w:rPr>
        <w:t xml:space="preserve"> </w:t>
      </w:r>
      <w:r w:rsidR="00731C9A">
        <w:rPr>
          <w:rFonts w:ascii="Simplified Arabic" w:hAnsi="Simplified Arabic" w:cs="Simplified Arabic" w:hint="cs"/>
          <w:b/>
          <w:bCs/>
          <w:color w:val="000000"/>
          <w:sz w:val="28"/>
          <w:szCs w:val="28"/>
          <w:rtl/>
          <w:lang w:eastAsia="en-US"/>
        </w:rPr>
        <w:t xml:space="preserve">  </w:t>
      </w:r>
      <w:proofErr w:type="gramEnd"/>
      <w:r w:rsidR="00731C9A">
        <w:rPr>
          <w:rFonts w:ascii="Simplified Arabic" w:hAnsi="Simplified Arabic" w:cs="Simplified Arabic" w:hint="cs"/>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في</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الضفة</w:t>
      </w:r>
      <w:r w:rsidR="00D92DE1" w:rsidRPr="00731C9A">
        <w:rPr>
          <w:rFonts w:ascii="Simplified Arabic" w:hAnsi="Simplified Arabic" w:cs="Simplified Arabic"/>
          <w:b/>
          <w:bCs/>
          <w:color w:val="000000"/>
          <w:sz w:val="28"/>
          <w:szCs w:val="28"/>
          <w:rtl/>
          <w:lang w:eastAsia="en-US"/>
        </w:rPr>
        <w:t xml:space="preserve"> </w:t>
      </w:r>
      <w:r w:rsidRPr="00731C9A">
        <w:rPr>
          <w:rFonts w:ascii="Simplified Arabic" w:hAnsi="Simplified Arabic" w:cs="Simplified Arabic"/>
          <w:b/>
          <w:bCs/>
          <w:color w:val="000000"/>
          <w:sz w:val="28"/>
          <w:szCs w:val="28"/>
          <w:rtl/>
          <w:lang w:eastAsia="en-US"/>
        </w:rPr>
        <w:t>الغربية</w:t>
      </w:r>
    </w:p>
    <w:p w:rsidR="00000560" w:rsidRPr="00731C9A" w:rsidRDefault="00000560" w:rsidP="007D16EF">
      <w:pPr>
        <w:jc w:val="lowKashida"/>
        <w:rPr>
          <w:rFonts w:ascii="Simplified Arabic" w:hAnsi="Simplified Arabic" w:cs="Simplified Arabic"/>
          <w:color w:val="FF0000"/>
          <w:sz w:val="26"/>
          <w:szCs w:val="26"/>
          <w:rtl/>
          <w:lang w:eastAsia="en-US"/>
        </w:rPr>
      </w:pPr>
      <w:r w:rsidRPr="00731C9A">
        <w:rPr>
          <w:rFonts w:ascii="Simplified Arabic" w:hAnsi="Simplified Arabic" w:cs="Simplified Arabic"/>
          <w:color w:val="000000"/>
          <w:sz w:val="26"/>
          <w:szCs w:val="26"/>
          <w:rtl/>
          <w:lang w:eastAsia="en-US"/>
        </w:rPr>
        <w:t>بلغت</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نسبة</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المستخدمين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بأجر</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القطاع</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الخاص</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الذين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يتقاضون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أجراً</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شهرياً</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أقل</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من</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الحد</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الأدنى</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للأجر</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w:t>
      </w:r>
      <w:r w:rsidRPr="00731C9A">
        <w:rPr>
          <w:rFonts w:ascii="Simplified Arabic" w:hAnsi="Simplified Arabic" w:cs="Simplified Arabic"/>
          <w:color w:val="000000"/>
          <w:sz w:val="26"/>
          <w:szCs w:val="26"/>
          <w:lang w:eastAsia="en-US"/>
        </w:rPr>
        <w:t>1,880</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شي</w:t>
      </w:r>
      <w:r w:rsidR="00776173" w:rsidRPr="00731C9A">
        <w:rPr>
          <w:rFonts w:ascii="Simplified Arabic" w:hAnsi="Simplified Arabic" w:cs="Simplified Arabic"/>
          <w:color w:val="000000"/>
          <w:sz w:val="26"/>
          <w:szCs w:val="26"/>
          <w:rtl/>
          <w:lang w:eastAsia="en-US"/>
        </w:rPr>
        <w:t>ك</w:t>
      </w:r>
      <w:r w:rsidRPr="00731C9A">
        <w:rPr>
          <w:rFonts w:ascii="Simplified Arabic" w:hAnsi="Simplified Arabic" w:cs="Simplified Arabic"/>
          <w:color w:val="000000"/>
          <w:sz w:val="26"/>
          <w:szCs w:val="26"/>
          <w:rtl/>
          <w:lang w:eastAsia="en-US"/>
        </w:rPr>
        <w:t>لاً)</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الضفة</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الغربية</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حوالي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1</w:t>
      </w:r>
      <w:r w:rsidR="007D16EF" w:rsidRPr="00731C9A">
        <w:rPr>
          <w:rFonts w:ascii="Simplified Arabic" w:hAnsi="Simplified Arabic" w:cs="Simplified Arabic"/>
          <w:color w:val="000000"/>
          <w:sz w:val="26"/>
          <w:szCs w:val="26"/>
          <w:rtl/>
          <w:lang w:eastAsia="en-US"/>
        </w:rPr>
        <w:t>6</w:t>
      </w:r>
      <w:r w:rsidRPr="00731C9A">
        <w:rPr>
          <w:rFonts w:ascii="Simplified Arabic" w:hAnsi="Simplified Arabic" w:cs="Simplified Arabic"/>
          <w:color w:val="000000"/>
          <w:sz w:val="26"/>
          <w:szCs w:val="26"/>
          <w:rtl/>
          <w:lang w:eastAsia="en-US"/>
        </w:rPr>
        <w:t>%،</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حيث</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بلغ</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العدد</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حوالي</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40</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ألفاً،</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مقارنة</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مع</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حوالي</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1</w:t>
      </w:r>
      <w:r w:rsidR="007D16EF" w:rsidRPr="00731C9A">
        <w:rPr>
          <w:rFonts w:ascii="Simplified Arabic" w:hAnsi="Simplified Arabic" w:cs="Simplified Arabic"/>
          <w:color w:val="000000"/>
          <w:sz w:val="26"/>
          <w:szCs w:val="26"/>
          <w:rtl/>
          <w:lang w:eastAsia="en-US"/>
        </w:rPr>
        <w:t>5</w:t>
      </w:r>
      <w:r w:rsidR="00B45961" w:rsidRPr="00731C9A">
        <w:rPr>
          <w:rFonts w:ascii="Simplified Arabic" w:hAnsi="Simplified Arabic" w:cs="Simplified Arabic"/>
          <w:color w:val="000000"/>
          <w:sz w:val="26"/>
          <w:szCs w:val="26"/>
          <w:rtl/>
          <w:lang w:eastAsia="en-US"/>
        </w:rPr>
        <w:t>%</w:t>
      </w:r>
      <w:r w:rsidR="00776173"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w:t>
      </w:r>
      <w:r w:rsidR="007D16EF" w:rsidRPr="00731C9A">
        <w:rPr>
          <w:rFonts w:ascii="Simplified Arabic" w:hAnsi="Simplified Arabic" w:cs="Simplified Arabic"/>
          <w:color w:val="000000"/>
          <w:sz w:val="26"/>
          <w:szCs w:val="26"/>
          <w:rtl/>
          <w:lang w:eastAsia="en-US"/>
        </w:rPr>
        <w:t>44</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ألفاً)</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في</w:t>
      </w:r>
      <w:r w:rsidR="00D92DE1" w:rsidRPr="00731C9A">
        <w:rPr>
          <w:rFonts w:ascii="Simplified Arabic" w:hAnsi="Simplified Arabic" w:cs="Simplified Arabic"/>
          <w:color w:val="000000"/>
          <w:sz w:val="26"/>
          <w:szCs w:val="26"/>
          <w:rtl/>
          <w:lang w:eastAsia="en-US"/>
        </w:rPr>
        <w:t xml:space="preserve"> </w:t>
      </w:r>
      <w:r w:rsidR="00776173" w:rsidRPr="00731C9A">
        <w:rPr>
          <w:rFonts w:ascii="Simplified Arabic" w:hAnsi="Simplified Arabic" w:cs="Simplified Arabic"/>
          <w:color w:val="000000"/>
          <w:sz w:val="26"/>
          <w:szCs w:val="26"/>
          <w:rtl/>
          <w:lang w:eastAsia="en-US"/>
        </w:rPr>
        <w:t>ال</w:t>
      </w:r>
      <w:r w:rsidR="007D16EF" w:rsidRPr="00731C9A">
        <w:rPr>
          <w:rFonts w:ascii="Simplified Arabic" w:hAnsi="Simplified Arabic" w:cs="Simplified Arabic"/>
          <w:color w:val="000000"/>
          <w:sz w:val="26"/>
          <w:szCs w:val="26"/>
          <w:rtl/>
          <w:lang w:eastAsia="en-US"/>
        </w:rPr>
        <w:t>عام</w:t>
      </w:r>
      <w:r w:rsidR="00D92DE1" w:rsidRPr="00731C9A">
        <w:rPr>
          <w:rFonts w:ascii="Simplified Arabic" w:hAnsi="Simplified Arabic" w:cs="Simplified Arabic"/>
          <w:color w:val="000000"/>
          <w:sz w:val="26"/>
          <w:szCs w:val="26"/>
          <w:rtl/>
          <w:lang w:eastAsia="en-US"/>
        </w:rPr>
        <w:t xml:space="preserve"> </w:t>
      </w:r>
      <w:r w:rsidR="00B45961" w:rsidRPr="00731C9A">
        <w:rPr>
          <w:rFonts w:ascii="Simplified Arabic" w:hAnsi="Simplified Arabic" w:cs="Simplified Arabic"/>
          <w:color w:val="000000"/>
          <w:sz w:val="26"/>
          <w:szCs w:val="26"/>
          <w:rtl/>
          <w:lang w:eastAsia="en-US"/>
        </w:rPr>
        <w:t>2023</w:t>
      </w:r>
      <w:r w:rsidR="00776173" w:rsidRPr="00731C9A">
        <w:rPr>
          <w:rFonts w:ascii="Simplified Arabic" w:hAnsi="Simplified Arabic" w:cs="Simplified Arabic"/>
          <w:color w:val="000000"/>
          <w:sz w:val="26"/>
          <w:szCs w:val="26"/>
          <w:rtl/>
          <w:lang w:eastAsia="en-US"/>
        </w:rPr>
        <w:t xml:space="preserve">. </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يذكر</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أنه</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بناء</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على</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قرار</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مجلس</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الوزراء</w:t>
      </w:r>
      <w:r w:rsidR="00776173" w:rsidRPr="00731C9A">
        <w:rPr>
          <w:rFonts w:ascii="Simplified Arabic" w:hAnsi="Simplified Arabic" w:cs="Simplified Arabic"/>
          <w:color w:val="000000"/>
          <w:sz w:val="26"/>
          <w:szCs w:val="26"/>
          <w:rtl/>
          <w:lang w:eastAsia="en-US"/>
        </w:rPr>
        <w:t>،</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تم</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اعتبار</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الحد</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الأدنى</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للأجر</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w:t>
      </w:r>
      <w:r w:rsidRPr="00731C9A">
        <w:rPr>
          <w:rFonts w:ascii="Simplified Arabic" w:hAnsi="Simplified Arabic" w:cs="Simplified Arabic"/>
          <w:color w:val="000000"/>
          <w:sz w:val="26"/>
          <w:szCs w:val="26"/>
          <w:lang w:eastAsia="en-US"/>
        </w:rPr>
        <w:t>1,880</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شي</w:t>
      </w:r>
      <w:r w:rsidR="00776173" w:rsidRPr="00731C9A">
        <w:rPr>
          <w:rFonts w:ascii="Simplified Arabic" w:hAnsi="Simplified Arabic" w:cs="Simplified Arabic"/>
          <w:color w:val="000000"/>
          <w:sz w:val="26"/>
          <w:szCs w:val="26"/>
          <w:rtl/>
          <w:lang w:eastAsia="en-US"/>
        </w:rPr>
        <w:t>ك</w:t>
      </w:r>
      <w:r w:rsidRPr="00731C9A">
        <w:rPr>
          <w:rFonts w:ascii="Simplified Arabic" w:hAnsi="Simplified Arabic" w:cs="Simplified Arabic"/>
          <w:color w:val="000000"/>
          <w:sz w:val="26"/>
          <w:szCs w:val="26"/>
          <w:rtl/>
          <w:lang w:eastAsia="en-US"/>
        </w:rPr>
        <w:t>لاً)</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مع</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بداية</w:t>
      </w:r>
      <w:r w:rsidR="00D92DE1" w:rsidRPr="00731C9A">
        <w:rPr>
          <w:rFonts w:ascii="Simplified Arabic" w:hAnsi="Simplified Arabic" w:cs="Simplified Arabic"/>
          <w:color w:val="000000"/>
          <w:sz w:val="26"/>
          <w:szCs w:val="26"/>
          <w:rtl/>
          <w:lang w:eastAsia="en-US"/>
        </w:rPr>
        <w:t xml:space="preserve"> </w:t>
      </w:r>
      <w:r w:rsidR="00776173" w:rsidRPr="00731C9A">
        <w:rPr>
          <w:rFonts w:ascii="Simplified Arabic" w:hAnsi="Simplified Arabic" w:cs="Simplified Arabic"/>
          <w:color w:val="000000"/>
          <w:sz w:val="26"/>
          <w:szCs w:val="26"/>
          <w:rtl/>
          <w:lang w:eastAsia="en-US"/>
        </w:rPr>
        <w:t>ال</w:t>
      </w:r>
      <w:r w:rsidRPr="00731C9A">
        <w:rPr>
          <w:rFonts w:ascii="Simplified Arabic" w:hAnsi="Simplified Arabic" w:cs="Simplified Arabic"/>
          <w:color w:val="000000"/>
          <w:sz w:val="26"/>
          <w:szCs w:val="26"/>
          <w:rtl/>
          <w:lang w:eastAsia="en-US"/>
        </w:rPr>
        <w:t>عام</w:t>
      </w:r>
      <w:r w:rsidR="00D92DE1" w:rsidRPr="00731C9A">
        <w:rPr>
          <w:rFonts w:ascii="Simplified Arabic" w:hAnsi="Simplified Arabic" w:cs="Simplified Arabic"/>
          <w:color w:val="000000"/>
          <w:sz w:val="26"/>
          <w:szCs w:val="26"/>
          <w:rtl/>
          <w:lang w:eastAsia="en-US"/>
        </w:rPr>
        <w:t xml:space="preserve"> </w:t>
      </w:r>
      <w:r w:rsidRPr="00731C9A">
        <w:rPr>
          <w:rFonts w:ascii="Simplified Arabic" w:hAnsi="Simplified Arabic" w:cs="Simplified Arabic"/>
          <w:color w:val="000000"/>
          <w:sz w:val="26"/>
          <w:szCs w:val="26"/>
          <w:rtl/>
          <w:lang w:eastAsia="en-US"/>
        </w:rPr>
        <w:t>2022.</w:t>
      </w:r>
    </w:p>
    <w:p w:rsidR="00000560" w:rsidRPr="00543C48" w:rsidRDefault="00000560" w:rsidP="00000560">
      <w:pPr>
        <w:pStyle w:val="BodyText"/>
        <w:ind w:left="-1"/>
        <w:rPr>
          <w:rFonts w:cs="Simplified Arabic"/>
          <w:sz w:val="2"/>
          <w:szCs w:val="2"/>
          <w:rtl/>
        </w:rPr>
      </w:pPr>
    </w:p>
    <w:p w:rsidR="00776173" w:rsidRPr="00731C9A" w:rsidRDefault="00776173" w:rsidP="00776173">
      <w:pPr>
        <w:widowControl w:val="0"/>
        <w:jc w:val="lowKashida"/>
        <w:rPr>
          <w:rFonts w:ascii="Simplified Arabic" w:hAnsi="Simplified Arabic" w:cs="Simplified Arabic"/>
          <w:color w:val="000000"/>
          <w:sz w:val="16"/>
          <w:szCs w:val="16"/>
          <w:rtl/>
        </w:rPr>
      </w:pPr>
    </w:p>
    <w:p w:rsidR="00000560" w:rsidRPr="00731C9A" w:rsidRDefault="00000560" w:rsidP="007D16EF">
      <w:pPr>
        <w:jc w:val="lowKashida"/>
        <w:rPr>
          <w:rFonts w:ascii="Simplified Arabic" w:hAnsi="Simplified Arabic" w:cs="Simplified Arabic"/>
          <w:sz w:val="26"/>
          <w:szCs w:val="26"/>
          <w:rtl/>
          <w:lang w:eastAsia="en-US"/>
        </w:rPr>
      </w:pPr>
      <w:r w:rsidRPr="00731C9A">
        <w:rPr>
          <w:rFonts w:ascii="Simplified Arabic" w:hAnsi="Simplified Arabic" w:cs="Simplified Arabic"/>
          <w:sz w:val="26"/>
          <w:szCs w:val="26"/>
          <w:rtl/>
          <w:lang w:eastAsia="en-US"/>
        </w:rPr>
        <w:t>بلغ</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معدل</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الأجر</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الشهري</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للذين</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يتقاضون</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أجرا</w:t>
      </w:r>
      <w:r w:rsidR="00776173" w:rsidRPr="00731C9A">
        <w:rPr>
          <w:rFonts w:ascii="Simplified Arabic" w:hAnsi="Simplified Arabic" w:cs="Simplified Arabic"/>
          <w:sz w:val="26"/>
          <w:szCs w:val="26"/>
          <w:rtl/>
          <w:lang w:eastAsia="en-US"/>
        </w:rPr>
        <w:t>ً</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شهرياً</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أقل</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من</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الحد</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الأدنى</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للأجر</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lang w:eastAsia="en-US"/>
        </w:rPr>
        <w:t>1,</w:t>
      </w:r>
      <w:r w:rsidR="007D16EF" w:rsidRPr="00731C9A">
        <w:rPr>
          <w:rFonts w:ascii="Simplified Arabic" w:hAnsi="Simplified Arabic" w:cs="Simplified Arabic"/>
          <w:sz w:val="26"/>
          <w:szCs w:val="26"/>
          <w:lang w:eastAsia="en-US"/>
        </w:rPr>
        <w:t>424</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شي</w:t>
      </w:r>
      <w:r w:rsidR="00776173" w:rsidRPr="00731C9A">
        <w:rPr>
          <w:rFonts w:ascii="Simplified Arabic" w:hAnsi="Simplified Arabic" w:cs="Simplified Arabic"/>
          <w:sz w:val="26"/>
          <w:szCs w:val="26"/>
          <w:rtl/>
          <w:lang w:eastAsia="en-US"/>
        </w:rPr>
        <w:t>ك</w:t>
      </w:r>
      <w:r w:rsidRPr="00731C9A">
        <w:rPr>
          <w:rFonts w:ascii="Simplified Arabic" w:hAnsi="Simplified Arabic" w:cs="Simplified Arabic"/>
          <w:sz w:val="26"/>
          <w:szCs w:val="26"/>
          <w:rtl/>
          <w:lang w:eastAsia="en-US"/>
        </w:rPr>
        <w:t>لاً</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في</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الضفة</w:t>
      </w:r>
      <w:r w:rsidR="00D92DE1" w:rsidRPr="00731C9A">
        <w:rPr>
          <w:rFonts w:ascii="Simplified Arabic" w:hAnsi="Simplified Arabic" w:cs="Simplified Arabic"/>
          <w:sz w:val="26"/>
          <w:szCs w:val="26"/>
          <w:rtl/>
          <w:lang w:eastAsia="en-US"/>
        </w:rPr>
        <w:t xml:space="preserve"> </w:t>
      </w:r>
      <w:r w:rsidRPr="00731C9A">
        <w:rPr>
          <w:rFonts w:ascii="Simplified Arabic" w:hAnsi="Simplified Arabic" w:cs="Simplified Arabic"/>
          <w:sz w:val="26"/>
          <w:szCs w:val="26"/>
          <w:rtl/>
          <w:lang w:eastAsia="en-US"/>
        </w:rPr>
        <w:t>الغربية</w:t>
      </w:r>
      <w:r w:rsidR="00D92DE1" w:rsidRPr="00731C9A">
        <w:rPr>
          <w:rFonts w:ascii="Simplified Arabic" w:hAnsi="Simplified Arabic" w:cs="Simplified Arabic"/>
          <w:sz w:val="26"/>
          <w:szCs w:val="26"/>
          <w:rtl/>
          <w:lang w:eastAsia="en-US"/>
        </w:rPr>
        <w:t xml:space="preserve"> </w:t>
      </w:r>
      <w:r w:rsidR="001E5BE0" w:rsidRPr="00731C9A">
        <w:rPr>
          <w:rFonts w:ascii="Simplified Arabic" w:hAnsi="Simplified Arabic" w:cs="Simplified Arabic"/>
          <w:sz w:val="26"/>
          <w:szCs w:val="26"/>
          <w:rtl/>
          <w:lang w:eastAsia="en-US"/>
        </w:rPr>
        <w:t>في</w:t>
      </w:r>
      <w:r w:rsidR="00D92DE1" w:rsidRPr="00731C9A">
        <w:rPr>
          <w:rFonts w:ascii="Simplified Arabic" w:hAnsi="Simplified Arabic" w:cs="Simplified Arabic"/>
          <w:sz w:val="26"/>
          <w:szCs w:val="26"/>
          <w:rtl/>
          <w:lang w:eastAsia="en-US"/>
        </w:rPr>
        <w:t xml:space="preserve"> </w:t>
      </w:r>
      <w:r w:rsidR="00776173" w:rsidRPr="00731C9A">
        <w:rPr>
          <w:rFonts w:ascii="Simplified Arabic" w:hAnsi="Simplified Arabic" w:cs="Simplified Arabic"/>
          <w:sz w:val="26"/>
          <w:szCs w:val="26"/>
          <w:rtl/>
          <w:lang w:eastAsia="en-US"/>
        </w:rPr>
        <w:t>ال</w:t>
      </w:r>
      <w:r w:rsidR="007D16EF" w:rsidRPr="00731C9A">
        <w:rPr>
          <w:rFonts w:ascii="Simplified Arabic" w:hAnsi="Simplified Arabic" w:cs="Simplified Arabic"/>
          <w:sz w:val="26"/>
          <w:szCs w:val="26"/>
          <w:rtl/>
          <w:lang w:eastAsia="en-US"/>
        </w:rPr>
        <w:t>عام</w:t>
      </w:r>
      <w:r w:rsidR="00D92DE1" w:rsidRPr="00731C9A">
        <w:rPr>
          <w:rFonts w:ascii="Simplified Arabic" w:hAnsi="Simplified Arabic" w:cs="Simplified Arabic"/>
          <w:sz w:val="26"/>
          <w:szCs w:val="26"/>
          <w:rtl/>
          <w:lang w:eastAsia="en-US"/>
        </w:rPr>
        <w:t xml:space="preserve"> </w:t>
      </w:r>
      <w:r w:rsidR="007D16EF" w:rsidRPr="00731C9A">
        <w:rPr>
          <w:rFonts w:ascii="Simplified Arabic" w:hAnsi="Simplified Arabic" w:cs="Simplified Arabic"/>
          <w:sz w:val="26"/>
          <w:szCs w:val="26"/>
          <w:rtl/>
          <w:lang w:eastAsia="en-US"/>
        </w:rPr>
        <w:t>2024</w:t>
      </w:r>
      <w:r w:rsidR="00776173" w:rsidRPr="00731C9A">
        <w:rPr>
          <w:rFonts w:ascii="Simplified Arabic" w:hAnsi="Simplified Arabic" w:cs="Simplified Arabic"/>
          <w:sz w:val="26"/>
          <w:szCs w:val="26"/>
          <w:rtl/>
          <w:lang w:eastAsia="en-US"/>
        </w:rPr>
        <w:t>،</w:t>
      </w:r>
      <w:r w:rsidR="00D92DE1" w:rsidRPr="00731C9A">
        <w:rPr>
          <w:rFonts w:ascii="Simplified Arabic" w:hAnsi="Simplified Arabic" w:cs="Simplified Arabic"/>
          <w:sz w:val="26"/>
          <w:szCs w:val="26"/>
          <w:rtl/>
          <w:lang w:eastAsia="en-US"/>
        </w:rPr>
        <w:t xml:space="preserve"> </w:t>
      </w:r>
      <w:r w:rsidR="001E5BE0" w:rsidRPr="00731C9A">
        <w:rPr>
          <w:rFonts w:ascii="Simplified Arabic" w:hAnsi="Simplified Arabic" w:cs="Simplified Arabic"/>
          <w:sz w:val="26"/>
          <w:szCs w:val="26"/>
          <w:rtl/>
          <w:lang w:eastAsia="en-US"/>
        </w:rPr>
        <w:t>مقارنة</w:t>
      </w:r>
      <w:r w:rsidR="00D92DE1" w:rsidRPr="00731C9A">
        <w:rPr>
          <w:rFonts w:ascii="Simplified Arabic" w:hAnsi="Simplified Arabic" w:cs="Simplified Arabic"/>
          <w:sz w:val="26"/>
          <w:szCs w:val="26"/>
          <w:rtl/>
          <w:lang w:eastAsia="en-US"/>
        </w:rPr>
        <w:t xml:space="preserve"> </w:t>
      </w:r>
      <w:r w:rsidR="001E5BE0" w:rsidRPr="00731C9A">
        <w:rPr>
          <w:rFonts w:ascii="Simplified Arabic" w:hAnsi="Simplified Arabic" w:cs="Simplified Arabic"/>
          <w:sz w:val="26"/>
          <w:szCs w:val="26"/>
          <w:rtl/>
          <w:lang w:eastAsia="en-US"/>
        </w:rPr>
        <w:t>مع</w:t>
      </w:r>
      <w:r w:rsidR="00D92DE1" w:rsidRPr="00731C9A">
        <w:rPr>
          <w:rFonts w:ascii="Simplified Arabic" w:hAnsi="Simplified Arabic" w:cs="Simplified Arabic"/>
          <w:sz w:val="26"/>
          <w:szCs w:val="26"/>
          <w:rtl/>
          <w:lang w:eastAsia="en-US"/>
        </w:rPr>
        <w:t xml:space="preserve"> </w:t>
      </w:r>
      <w:r w:rsidR="001E5BE0" w:rsidRPr="00731C9A">
        <w:rPr>
          <w:rFonts w:ascii="Simplified Arabic" w:hAnsi="Simplified Arabic" w:cs="Simplified Arabic"/>
          <w:sz w:val="26"/>
          <w:szCs w:val="26"/>
          <w:lang w:eastAsia="en-US"/>
        </w:rPr>
        <w:t>1,</w:t>
      </w:r>
      <w:r w:rsidR="007D16EF" w:rsidRPr="00731C9A">
        <w:rPr>
          <w:rFonts w:ascii="Simplified Arabic" w:hAnsi="Simplified Arabic" w:cs="Simplified Arabic"/>
          <w:sz w:val="26"/>
          <w:szCs w:val="26"/>
          <w:lang w:eastAsia="en-US"/>
        </w:rPr>
        <w:t>381</w:t>
      </w:r>
      <w:r w:rsidR="00D92DE1" w:rsidRPr="00731C9A">
        <w:rPr>
          <w:rFonts w:ascii="Simplified Arabic" w:hAnsi="Simplified Arabic" w:cs="Simplified Arabic"/>
          <w:sz w:val="26"/>
          <w:szCs w:val="26"/>
          <w:rtl/>
          <w:lang w:eastAsia="en-US"/>
        </w:rPr>
        <w:t xml:space="preserve"> </w:t>
      </w:r>
      <w:r w:rsidR="008D3983" w:rsidRPr="00731C9A">
        <w:rPr>
          <w:rFonts w:ascii="Simplified Arabic" w:hAnsi="Simplified Arabic" w:cs="Simplified Arabic"/>
          <w:sz w:val="26"/>
          <w:szCs w:val="26"/>
          <w:rtl/>
          <w:lang w:eastAsia="en-US"/>
        </w:rPr>
        <w:t>شي</w:t>
      </w:r>
      <w:r w:rsidR="00776173" w:rsidRPr="00731C9A">
        <w:rPr>
          <w:rFonts w:ascii="Simplified Arabic" w:hAnsi="Simplified Arabic" w:cs="Simplified Arabic"/>
          <w:sz w:val="26"/>
          <w:szCs w:val="26"/>
          <w:rtl/>
          <w:lang w:eastAsia="en-US"/>
        </w:rPr>
        <w:t>ك</w:t>
      </w:r>
      <w:r w:rsidR="008D3983" w:rsidRPr="00731C9A">
        <w:rPr>
          <w:rFonts w:ascii="Simplified Arabic" w:hAnsi="Simplified Arabic" w:cs="Simplified Arabic"/>
          <w:sz w:val="26"/>
          <w:szCs w:val="26"/>
          <w:rtl/>
          <w:lang w:eastAsia="en-US"/>
        </w:rPr>
        <w:t>لاً</w:t>
      </w:r>
      <w:r w:rsidR="00D92DE1" w:rsidRPr="00731C9A">
        <w:rPr>
          <w:rFonts w:ascii="Simplified Arabic" w:hAnsi="Simplified Arabic" w:cs="Simplified Arabic"/>
          <w:sz w:val="26"/>
          <w:szCs w:val="26"/>
          <w:rtl/>
          <w:lang w:eastAsia="en-US"/>
        </w:rPr>
        <w:t xml:space="preserve"> </w:t>
      </w:r>
      <w:r w:rsidR="008D3983" w:rsidRPr="00731C9A">
        <w:rPr>
          <w:rFonts w:ascii="Simplified Arabic" w:hAnsi="Simplified Arabic" w:cs="Simplified Arabic"/>
          <w:sz w:val="26"/>
          <w:szCs w:val="26"/>
          <w:rtl/>
          <w:lang w:eastAsia="en-US"/>
        </w:rPr>
        <w:t>في</w:t>
      </w:r>
      <w:r w:rsidR="00D92DE1" w:rsidRPr="00731C9A">
        <w:rPr>
          <w:rFonts w:ascii="Simplified Arabic" w:hAnsi="Simplified Arabic" w:cs="Simplified Arabic"/>
          <w:sz w:val="26"/>
          <w:szCs w:val="26"/>
          <w:rtl/>
          <w:lang w:eastAsia="en-US"/>
        </w:rPr>
        <w:t xml:space="preserve"> </w:t>
      </w:r>
      <w:r w:rsidR="00776173" w:rsidRPr="00731C9A">
        <w:rPr>
          <w:rFonts w:ascii="Simplified Arabic" w:hAnsi="Simplified Arabic" w:cs="Simplified Arabic"/>
          <w:sz w:val="26"/>
          <w:szCs w:val="26"/>
          <w:rtl/>
          <w:lang w:eastAsia="en-US"/>
        </w:rPr>
        <w:t>ال</w:t>
      </w:r>
      <w:r w:rsidR="007D16EF" w:rsidRPr="00731C9A">
        <w:rPr>
          <w:rFonts w:ascii="Simplified Arabic" w:hAnsi="Simplified Arabic" w:cs="Simplified Arabic"/>
          <w:sz w:val="26"/>
          <w:szCs w:val="26"/>
          <w:rtl/>
          <w:lang w:eastAsia="en-US"/>
        </w:rPr>
        <w:t>عام</w:t>
      </w:r>
      <w:r w:rsidR="00D92DE1" w:rsidRPr="00731C9A">
        <w:rPr>
          <w:rFonts w:ascii="Simplified Arabic" w:hAnsi="Simplified Arabic" w:cs="Simplified Arabic"/>
          <w:sz w:val="26"/>
          <w:szCs w:val="26"/>
          <w:rtl/>
          <w:lang w:eastAsia="en-US"/>
        </w:rPr>
        <w:t xml:space="preserve"> </w:t>
      </w:r>
      <w:r w:rsidR="001E5BE0" w:rsidRPr="00731C9A">
        <w:rPr>
          <w:rFonts w:ascii="Simplified Arabic" w:hAnsi="Simplified Arabic" w:cs="Simplified Arabic"/>
          <w:sz w:val="26"/>
          <w:szCs w:val="26"/>
          <w:rtl/>
          <w:lang w:eastAsia="en-US"/>
        </w:rPr>
        <w:t>2023.</w:t>
      </w:r>
    </w:p>
    <w:p w:rsidR="00776173" w:rsidRPr="00731C9A" w:rsidRDefault="00776173" w:rsidP="00776173">
      <w:pPr>
        <w:widowControl w:val="0"/>
        <w:jc w:val="lowKashida"/>
        <w:rPr>
          <w:rFonts w:ascii="Simplified Arabic" w:hAnsi="Simplified Arabic" w:cs="Simplified Arabic"/>
          <w:color w:val="000000"/>
          <w:sz w:val="16"/>
          <w:szCs w:val="16"/>
          <w:rtl/>
        </w:rPr>
      </w:pPr>
    </w:p>
    <w:p w:rsidR="003205B1" w:rsidRPr="00731C9A" w:rsidRDefault="0069659F" w:rsidP="009D3F84">
      <w:pPr>
        <w:tabs>
          <w:tab w:val="num" w:pos="720"/>
        </w:tabs>
        <w:jc w:val="lowKashida"/>
        <w:rPr>
          <w:rFonts w:ascii="Simplified Arabic" w:hAnsi="Simplified Arabic" w:cs="Simplified Arabic"/>
          <w:b/>
          <w:bCs/>
          <w:sz w:val="28"/>
          <w:szCs w:val="28"/>
          <w:rtl/>
        </w:rPr>
      </w:pPr>
      <w:r w:rsidRPr="00731C9A">
        <w:rPr>
          <w:rFonts w:ascii="Simplified Arabic" w:hAnsi="Simplified Arabic" w:cs="Simplified Arabic"/>
          <w:b/>
          <w:bCs/>
          <w:sz w:val="28"/>
          <w:szCs w:val="28"/>
          <w:rtl/>
        </w:rPr>
        <w:t>أقل</w:t>
      </w:r>
      <w:r w:rsidR="00D92DE1" w:rsidRPr="00731C9A">
        <w:rPr>
          <w:rFonts w:ascii="Simplified Arabic" w:hAnsi="Simplified Arabic" w:cs="Simplified Arabic"/>
          <w:b/>
          <w:bCs/>
          <w:sz w:val="28"/>
          <w:szCs w:val="28"/>
          <w:rtl/>
        </w:rPr>
        <w:t xml:space="preserve"> </w:t>
      </w:r>
      <w:r w:rsidRPr="00731C9A">
        <w:rPr>
          <w:rFonts w:ascii="Simplified Arabic" w:hAnsi="Simplified Arabic" w:cs="Simplified Arabic"/>
          <w:b/>
          <w:bCs/>
          <w:sz w:val="28"/>
          <w:szCs w:val="28"/>
          <w:rtl/>
        </w:rPr>
        <w:t>من</w:t>
      </w:r>
      <w:r w:rsidR="00D92DE1" w:rsidRPr="00731C9A">
        <w:rPr>
          <w:rFonts w:ascii="Simplified Arabic" w:hAnsi="Simplified Arabic" w:cs="Simplified Arabic"/>
          <w:b/>
          <w:bCs/>
          <w:sz w:val="28"/>
          <w:szCs w:val="28"/>
          <w:rtl/>
        </w:rPr>
        <w:t xml:space="preserve"> </w:t>
      </w:r>
      <w:r w:rsidR="00BF7C88" w:rsidRPr="00731C9A">
        <w:rPr>
          <w:rFonts w:ascii="Simplified Arabic" w:hAnsi="Simplified Arabic" w:cs="Simplified Arabic"/>
          <w:b/>
          <w:bCs/>
          <w:sz w:val="28"/>
          <w:szCs w:val="28"/>
          <w:rtl/>
        </w:rPr>
        <w:t>نصف</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المستخدمين</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بأجر</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في</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القطاع</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الخاص</w:t>
      </w:r>
      <w:r w:rsidR="00D92DE1" w:rsidRPr="00731C9A">
        <w:rPr>
          <w:rFonts w:ascii="Simplified Arabic" w:hAnsi="Simplified Arabic" w:cs="Simplified Arabic"/>
          <w:b/>
          <w:bCs/>
          <w:sz w:val="28"/>
          <w:szCs w:val="28"/>
          <w:rtl/>
        </w:rPr>
        <w:t xml:space="preserve"> </w:t>
      </w:r>
      <w:r w:rsidR="00C35BE2" w:rsidRPr="00731C9A">
        <w:rPr>
          <w:rFonts w:ascii="Simplified Arabic" w:hAnsi="Simplified Arabic" w:cs="Simplified Arabic"/>
          <w:b/>
          <w:bCs/>
          <w:sz w:val="28"/>
          <w:szCs w:val="28"/>
          <w:rtl/>
        </w:rPr>
        <w:t>في</w:t>
      </w:r>
      <w:r w:rsidR="00D92DE1" w:rsidRPr="00731C9A">
        <w:rPr>
          <w:rFonts w:ascii="Simplified Arabic" w:hAnsi="Simplified Arabic" w:cs="Simplified Arabic"/>
          <w:b/>
          <w:bCs/>
          <w:sz w:val="28"/>
          <w:szCs w:val="28"/>
          <w:rtl/>
        </w:rPr>
        <w:t xml:space="preserve"> </w:t>
      </w:r>
      <w:r w:rsidR="00C35BE2" w:rsidRPr="00731C9A">
        <w:rPr>
          <w:rFonts w:ascii="Simplified Arabic" w:hAnsi="Simplified Arabic" w:cs="Simplified Arabic"/>
          <w:b/>
          <w:bCs/>
          <w:sz w:val="28"/>
          <w:szCs w:val="28"/>
          <w:rtl/>
        </w:rPr>
        <w:t>الضفة</w:t>
      </w:r>
      <w:r w:rsidR="00D92DE1" w:rsidRPr="00731C9A">
        <w:rPr>
          <w:rFonts w:ascii="Simplified Arabic" w:hAnsi="Simplified Arabic" w:cs="Simplified Arabic"/>
          <w:b/>
          <w:bCs/>
          <w:sz w:val="28"/>
          <w:szCs w:val="28"/>
          <w:rtl/>
        </w:rPr>
        <w:t xml:space="preserve"> </w:t>
      </w:r>
      <w:r w:rsidR="00C35BE2" w:rsidRPr="00731C9A">
        <w:rPr>
          <w:rFonts w:ascii="Simplified Arabic" w:hAnsi="Simplified Arabic" w:cs="Simplified Arabic"/>
          <w:b/>
          <w:bCs/>
          <w:sz w:val="28"/>
          <w:szCs w:val="28"/>
          <w:rtl/>
        </w:rPr>
        <w:t>الغربية</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يحصلون</w:t>
      </w:r>
      <w:r w:rsidR="00D92DE1" w:rsidRPr="00731C9A">
        <w:rPr>
          <w:rFonts w:ascii="Simplified Arabic" w:hAnsi="Simplified Arabic" w:cs="Simplified Arabic"/>
          <w:b/>
          <w:bCs/>
          <w:sz w:val="28"/>
          <w:szCs w:val="28"/>
          <w:rtl/>
        </w:rPr>
        <w:t xml:space="preserve"> </w:t>
      </w:r>
      <w:r w:rsidR="003205B1" w:rsidRPr="00731C9A">
        <w:rPr>
          <w:rFonts w:ascii="Simplified Arabic" w:hAnsi="Simplified Arabic" w:cs="Simplified Arabic"/>
          <w:b/>
          <w:bCs/>
          <w:sz w:val="28"/>
          <w:szCs w:val="28"/>
          <w:rtl/>
        </w:rPr>
        <w:t>على</w:t>
      </w:r>
      <w:r w:rsidR="00D92DE1" w:rsidRPr="00731C9A">
        <w:rPr>
          <w:rFonts w:ascii="Simplified Arabic" w:hAnsi="Simplified Arabic" w:cs="Simplified Arabic"/>
          <w:b/>
          <w:bCs/>
          <w:sz w:val="28"/>
          <w:szCs w:val="28"/>
          <w:rtl/>
        </w:rPr>
        <w:t xml:space="preserve"> </w:t>
      </w:r>
      <w:r w:rsidR="00AB271D" w:rsidRPr="00731C9A">
        <w:rPr>
          <w:rFonts w:ascii="Simplified Arabic" w:hAnsi="Simplified Arabic" w:cs="Simplified Arabic"/>
          <w:b/>
          <w:bCs/>
          <w:sz w:val="28"/>
          <w:szCs w:val="28"/>
          <w:rtl/>
        </w:rPr>
        <w:t>حقوقهم</w:t>
      </w:r>
    </w:p>
    <w:p w:rsidR="00031089" w:rsidRPr="00731C9A" w:rsidRDefault="003205B1" w:rsidP="00C35BE2">
      <w:pPr>
        <w:jc w:val="both"/>
        <w:rPr>
          <w:rFonts w:ascii="Simplified Arabic" w:hAnsi="Simplified Arabic" w:cs="Simplified Arabic"/>
          <w:sz w:val="26"/>
          <w:szCs w:val="26"/>
          <w:rtl/>
        </w:rPr>
      </w:pPr>
      <w:r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BF7C88" w:rsidRPr="00731C9A">
        <w:rPr>
          <w:rFonts w:ascii="Simplified Arabic" w:hAnsi="Simplified Arabic" w:cs="Simplified Arabic"/>
          <w:sz w:val="26"/>
          <w:szCs w:val="26"/>
          <w:rtl/>
        </w:rPr>
        <w:t>4</w:t>
      </w:r>
      <w:r w:rsidR="00C35BE2" w:rsidRPr="00731C9A">
        <w:rPr>
          <w:rFonts w:ascii="Simplified Arabic" w:hAnsi="Simplified Arabic" w:cs="Simplified Arabic"/>
          <w:sz w:val="26"/>
          <w:szCs w:val="26"/>
          <w:rtl/>
        </w:rPr>
        <w:t>3</w:t>
      </w:r>
      <w:r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المستخدمين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الخاص</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يحصلون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00C33046" w:rsidRPr="00731C9A">
        <w:rPr>
          <w:rFonts w:ascii="Simplified Arabic" w:hAnsi="Simplified Arabic" w:cs="Simplified Arabic"/>
          <w:sz w:val="26"/>
          <w:szCs w:val="26"/>
          <w:rtl/>
        </w:rPr>
        <w:t>حقوقهم</w:t>
      </w:r>
      <w:r w:rsidR="00D92DE1" w:rsidRPr="00731C9A">
        <w:rPr>
          <w:rFonts w:ascii="Simplified Arabic" w:hAnsi="Simplified Arabic" w:cs="Simplified Arabic"/>
          <w:sz w:val="26"/>
          <w:szCs w:val="26"/>
          <w:rtl/>
        </w:rPr>
        <w:t xml:space="preserve"> </w:t>
      </w:r>
      <w:r w:rsidR="00C33046" w:rsidRPr="00731C9A">
        <w:rPr>
          <w:rFonts w:ascii="Simplified Arabic" w:hAnsi="Simplified Arabic" w:cs="Simplified Arabic"/>
          <w:sz w:val="26"/>
          <w:szCs w:val="26"/>
          <w:rtl/>
        </w:rPr>
        <w:t>(</w:t>
      </w:r>
      <w:r w:rsidRPr="00731C9A">
        <w:rPr>
          <w:rFonts w:ascii="Simplified Arabic" w:hAnsi="Simplified Arabic" w:cs="Simplified Arabic"/>
          <w:sz w:val="26"/>
          <w:szCs w:val="26"/>
          <w:rtl/>
        </w:rPr>
        <w:t>تمويل</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التقاعد</w:t>
      </w:r>
      <w:r w:rsidR="00776173"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مكافأة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نهاية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الخدمة</w:t>
      </w:r>
      <w:r w:rsidR="00776173"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C33046" w:rsidRPr="00731C9A">
        <w:rPr>
          <w:rFonts w:ascii="Simplified Arabic" w:hAnsi="Simplified Arabic" w:cs="Simplified Arabic"/>
          <w:sz w:val="26"/>
          <w:szCs w:val="26"/>
          <w:rtl/>
        </w:rPr>
        <w:t>إضافة</w:t>
      </w:r>
      <w:r w:rsidR="00D92DE1" w:rsidRPr="00731C9A">
        <w:rPr>
          <w:rFonts w:ascii="Simplified Arabic" w:hAnsi="Simplified Arabic" w:cs="Simplified Arabic"/>
          <w:sz w:val="26"/>
          <w:szCs w:val="26"/>
          <w:rtl/>
        </w:rPr>
        <w:t xml:space="preserve"> </w:t>
      </w:r>
      <w:r w:rsidR="00776173" w:rsidRPr="00731C9A">
        <w:rPr>
          <w:rFonts w:ascii="Simplified Arabic" w:hAnsi="Simplified Arabic" w:cs="Simplified Arabic"/>
          <w:sz w:val="26"/>
          <w:szCs w:val="26"/>
          <w:rtl/>
        </w:rPr>
        <w:t>إ</w:t>
      </w:r>
      <w:r w:rsidR="009C6711" w:rsidRPr="00731C9A">
        <w:rPr>
          <w:rFonts w:ascii="Simplified Arabic" w:hAnsi="Simplified Arabic" w:cs="Simplified Arabic"/>
          <w:sz w:val="26"/>
          <w:szCs w:val="26"/>
          <w:rtl/>
        </w:rPr>
        <w:t>لى</w:t>
      </w:r>
      <w:r w:rsidR="00D92DE1" w:rsidRPr="00731C9A">
        <w:rPr>
          <w:rFonts w:ascii="Simplified Arabic" w:hAnsi="Simplified Arabic" w:cs="Simplified Arabic"/>
          <w:sz w:val="26"/>
          <w:szCs w:val="26"/>
          <w:rtl/>
        </w:rPr>
        <w:t xml:space="preserve"> </w:t>
      </w:r>
      <w:r w:rsidR="009C6711" w:rsidRPr="00731C9A">
        <w:rPr>
          <w:rFonts w:ascii="Simplified Arabic" w:hAnsi="Simplified Arabic" w:cs="Simplified Arabic"/>
          <w:sz w:val="26"/>
          <w:szCs w:val="26"/>
          <w:rtl/>
        </w:rPr>
        <w:t>ال</w:t>
      </w:r>
      <w:r w:rsidRPr="00731C9A">
        <w:rPr>
          <w:rFonts w:ascii="Simplified Arabic" w:hAnsi="Simplified Arabic" w:cs="Simplified Arabic"/>
          <w:sz w:val="26"/>
          <w:szCs w:val="26"/>
          <w:rtl/>
        </w:rPr>
        <w:t>إجازات</w:t>
      </w:r>
      <w:r w:rsidR="00D92DE1" w:rsidRPr="00731C9A">
        <w:rPr>
          <w:rFonts w:ascii="Simplified Arabic" w:hAnsi="Simplified Arabic" w:cs="Simplified Arabic"/>
          <w:sz w:val="26"/>
          <w:szCs w:val="26"/>
          <w:rtl/>
        </w:rPr>
        <w:t xml:space="preserve"> </w:t>
      </w:r>
      <w:r w:rsidR="00AE313D" w:rsidRPr="00731C9A">
        <w:rPr>
          <w:rFonts w:ascii="Simplified Arabic" w:hAnsi="Simplified Arabic" w:cs="Simplified Arabic"/>
          <w:sz w:val="26"/>
          <w:szCs w:val="26"/>
          <w:rtl/>
        </w:rPr>
        <w:t>ال</w:t>
      </w:r>
      <w:r w:rsidRPr="00731C9A">
        <w:rPr>
          <w:rFonts w:ascii="Simplified Arabic" w:hAnsi="Simplified Arabic" w:cs="Simplified Arabic"/>
          <w:sz w:val="26"/>
          <w:szCs w:val="26"/>
          <w:rtl/>
        </w:rPr>
        <w:t>سنوية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مدفوعة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الأجر</w:t>
      </w:r>
      <w:r w:rsidR="00C33046"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CB0FBD" w:rsidRPr="00731C9A">
        <w:rPr>
          <w:rFonts w:ascii="Simplified Arabic" w:hAnsi="Simplified Arabic" w:cs="Simplified Arabic"/>
          <w:sz w:val="26"/>
          <w:szCs w:val="26"/>
          <w:rtl/>
        </w:rPr>
        <w:t>و</w:t>
      </w:r>
      <w:r w:rsidR="009C6711" w:rsidRPr="00731C9A">
        <w:rPr>
          <w:rFonts w:ascii="Simplified Arabic" w:hAnsi="Simplified Arabic" w:cs="Simplified Arabic"/>
          <w:sz w:val="26"/>
          <w:szCs w:val="26"/>
          <w:rtl/>
        </w:rPr>
        <w:t>ال</w:t>
      </w:r>
      <w:r w:rsidRPr="00731C9A">
        <w:rPr>
          <w:rFonts w:ascii="Simplified Arabic" w:hAnsi="Simplified Arabic" w:cs="Simplified Arabic"/>
          <w:sz w:val="26"/>
          <w:szCs w:val="26"/>
          <w:rtl/>
        </w:rPr>
        <w:t>إجازات</w:t>
      </w:r>
      <w:r w:rsidR="00D92DE1" w:rsidRPr="00731C9A">
        <w:rPr>
          <w:rFonts w:ascii="Simplified Arabic" w:hAnsi="Simplified Arabic" w:cs="Simplified Arabic"/>
          <w:sz w:val="26"/>
          <w:szCs w:val="26"/>
          <w:rtl/>
        </w:rPr>
        <w:t xml:space="preserve"> </w:t>
      </w:r>
      <w:r w:rsidR="009C6711" w:rsidRPr="00731C9A">
        <w:rPr>
          <w:rFonts w:ascii="Simplified Arabic" w:hAnsi="Simplified Arabic" w:cs="Simplified Arabic"/>
          <w:sz w:val="26"/>
          <w:szCs w:val="26"/>
          <w:rtl/>
        </w:rPr>
        <w:t>ال</w:t>
      </w:r>
      <w:r w:rsidRPr="00731C9A">
        <w:rPr>
          <w:rFonts w:ascii="Simplified Arabic" w:hAnsi="Simplified Arabic" w:cs="Simplified Arabic"/>
          <w:sz w:val="26"/>
          <w:szCs w:val="26"/>
          <w:rtl/>
        </w:rPr>
        <w:t>مرضية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مدفوعة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الأجر</w:t>
      </w:r>
      <w:r w:rsidR="00C33046" w:rsidRPr="00731C9A">
        <w:rPr>
          <w:rFonts w:ascii="Simplified Arabic" w:hAnsi="Simplified Arabic" w:cs="Simplified Arabic"/>
          <w:sz w:val="26"/>
          <w:szCs w:val="26"/>
          <w:rtl/>
        </w:rPr>
        <w:t>)</w:t>
      </w:r>
      <w:r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حيث</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بلغ</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عدد</w:t>
      </w:r>
      <w:r w:rsidR="00D92DE1" w:rsidRPr="00731C9A">
        <w:rPr>
          <w:rFonts w:ascii="Simplified Arabic" w:hAnsi="Simplified Arabic" w:cs="Simplified Arabic"/>
          <w:sz w:val="26"/>
          <w:szCs w:val="26"/>
          <w:rtl/>
        </w:rPr>
        <w:t xml:space="preserve"> </w:t>
      </w:r>
      <w:r w:rsidR="005D3BE1" w:rsidRPr="00731C9A">
        <w:rPr>
          <w:rFonts w:ascii="Simplified Arabic" w:hAnsi="Simplified Arabic" w:cs="Simplified Arabic"/>
          <w:sz w:val="26"/>
          <w:szCs w:val="26"/>
          <w:rtl/>
        </w:rPr>
        <w:t>المستخدمين</w:t>
      </w:r>
      <w:r w:rsidR="00D92DE1" w:rsidRPr="00731C9A">
        <w:rPr>
          <w:rFonts w:ascii="Simplified Arabic" w:hAnsi="Simplified Arabic" w:cs="Simplified Arabic"/>
          <w:sz w:val="26"/>
          <w:szCs w:val="26"/>
          <w:rtl/>
        </w:rPr>
        <w:t xml:space="preserve"> </w:t>
      </w:r>
      <w:r w:rsidR="005D3BE1"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الخاص</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الذين</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لديهم</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عقد</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عمل</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دائم</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(مكتوب</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لفترة</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غير</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محددة)</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BF7C88" w:rsidRPr="00731C9A">
        <w:rPr>
          <w:rFonts w:ascii="Simplified Arabic" w:hAnsi="Simplified Arabic" w:cs="Simplified Arabic"/>
          <w:sz w:val="26"/>
          <w:szCs w:val="26"/>
          <w:rtl/>
        </w:rPr>
        <w:t>6</w:t>
      </w:r>
      <w:r w:rsidR="00C35BE2" w:rsidRPr="00731C9A">
        <w:rPr>
          <w:rFonts w:ascii="Simplified Arabic" w:hAnsi="Simplified Arabic" w:cs="Simplified Arabic"/>
          <w:sz w:val="26"/>
          <w:szCs w:val="26"/>
          <w:rtl/>
        </w:rPr>
        <w:t>7</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005D3BE1" w:rsidRPr="00731C9A">
        <w:rPr>
          <w:rFonts w:ascii="Simplified Arabic" w:hAnsi="Simplified Arabic" w:cs="Simplified Arabic"/>
          <w:sz w:val="26"/>
          <w:szCs w:val="26"/>
          <w:rtl/>
        </w:rPr>
        <w:t>مستخدم</w:t>
      </w:r>
      <w:r w:rsidR="00D92DE1" w:rsidRPr="00731C9A">
        <w:rPr>
          <w:rFonts w:ascii="Simplified Arabic" w:hAnsi="Simplified Arabic" w:cs="Simplified Arabic"/>
          <w:sz w:val="26"/>
          <w:szCs w:val="26"/>
          <w:rtl/>
        </w:rPr>
        <w:t xml:space="preserve"> </w:t>
      </w:r>
      <w:r w:rsidR="005D3BE1" w:rsidRPr="00731C9A">
        <w:rPr>
          <w:rFonts w:ascii="Simplified Arabic" w:hAnsi="Simplified Arabic" w:cs="Simplified Arabic"/>
          <w:sz w:val="26"/>
          <w:szCs w:val="26"/>
          <w:rtl/>
        </w:rPr>
        <w:t>بأجر</w:t>
      </w:r>
      <w:r w:rsidR="00335FE5"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وحوالي</w:t>
      </w:r>
      <w:r w:rsidR="00D92DE1" w:rsidRPr="00731C9A">
        <w:rPr>
          <w:rFonts w:ascii="Simplified Arabic" w:hAnsi="Simplified Arabic" w:cs="Simplified Arabic"/>
          <w:sz w:val="26"/>
          <w:szCs w:val="26"/>
          <w:rtl/>
        </w:rPr>
        <w:t xml:space="preserve"> </w:t>
      </w:r>
      <w:r w:rsidR="00BF7C88" w:rsidRPr="00731C9A">
        <w:rPr>
          <w:rFonts w:ascii="Simplified Arabic" w:hAnsi="Simplified Arabic" w:cs="Simplified Arabic"/>
          <w:sz w:val="26"/>
          <w:szCs w:val="26"/>
          <w:rtl/>
        </w:rPr>
        <w:t>128</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ألف</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عامل</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القطاع</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الخاص</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لديهم</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عقد</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عمل</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بشكل</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مؤقت</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(مكتوب</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لفترة</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محدودة،</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اتفاق</w:t>
      </w:r>
      <w:r w:rsidR="00D92DE1" w:rsidRPr="00731C9A">
        <w:rPr>
          <w:rFonts w:ascii="Simplified Arabic" w:hAnsi="Simplified Arabic" w:cs="Simplified Arabic"/>
          <w:sz w:val="26"/>
          <w:szCs w:val="26"/>
          <w:rtl/>
        </w:rPr>
        <w:t xml:space="preserve"> </w:t>
      </w:r>
      <w:r w:rsidR="00C02C9C" w:rsidRPr="00731C9A">
        <w:rPr>
          <w:rFonts w:ascii="Simplified Arabic" w:hAnsi="Simplified Arabic" w:cs="Simplified Arabic"/>
          <w:sz w:val="26"/>
          <w:szCs w:val="26"/>
          <w:rtl/>
        </w:rPr>
        <w:t>شفوي</w:t>
      </w:r>
      <w:r w:rsidR="00335FE5"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مقابل</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حوالي</w:t>
      </w:r>
      <w:r w:rsidR="00D92DE1" w:rsidRPr="00731C9A">
        <w:rPr>
          <w:rFonts w:ascii="Simplified Arabic" w:hAnsi="Simplified Arabic" w:cs="Simplified Arabic"/>
          <w:sz w:val="26"/>
          <w:szCs w:val="26"/>
          <w:rtl/>
        </w:rPr>
        <w:t xml:space="preserve"> </w:t>
      </w:r>
      <w:r w:rsidR="00BF7C88" w:rsidRPr="00731C9A">
        <w:rPr>
          <w:rFonts w:ascii="Simplified Arabic" w:hAnsi="Simplified Arabic" w:cs="Simplified Arabic"/>
          <w:sz w:val="26"/>
          <w:szCs w:val="26"/>
          <w:rtl/>
        </w:rPr>
        <w:t>10</w:t>
      </w:r>
      <w:r w:rsidR="00C35BE2" w:rsidRPr="00731C9A">
        <w:rPr>
          <w:rFonts w:ascii="Simplified Arabic" w:hAnsi="Simplified Arabic" w:cs="Simplified Arabic"/>
          <w:sz w:val="26"/>
          <w:szCs w:val="26"/>
          <w:rtl/>
        </w:rPr>
        <w:t>1</w:t>
      </w:r>
      <w:r w:rsidR="00D92DE1" w:rsidRPr="00731C9A">
        <w:rPr>
          <w:rFonts w:ascii="Simplified Arabic" w:hAnsi="Simplified Arabic" w:cs="Simplified Arabic"/>
          <w:sz w:val="26"/>
          <w:szCs w:val="26"/>
          <w:rtl/>
        </w:rPr>
        <w:t xml:space="preserve"> </w:t>
      </w:r>
      <w:r w:rsidR="00776173" w:rsidRPr="00731C9A">
        <w:rPr>
          <w:rFonts w:ascii="Simplified Arabic" w:hAnsi="Simplified Arabic" w:cs="Simplified Arabic"/>
          <w:sz w:val="26"/>
          <w:szCs w:val="26"/>
          <w:rtl/>
        </w:rPr>
        <w:t>أ</w:t>
      </w:r>
      <w:r w:rsidR="00C35BE2" w:rsidRPr="00731C9A">
        <w:rPr>
          <w:rFonts w:ascii="Simplified Arabic" w:hAnsi="Simplified Arabic" w:cs="Simplified Arabic"/>
          <w:sz w:val="26"/>
          <w:szCs w:val="26"/>
          <w:rtl/>
        </w:rPr>
        <w:t>لف</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عامل</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ليس</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لديهم</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عقد</w:t>
      </w:r>
      <w:r w:rsidR="00D92DE1" w:rsidRPr="00731C9A">
        <w:rPr>
          <w:rFonts w:ascii="Simplified Arabic" w:hAnsi="Simplified Arabic" w:cs="Simplified Arabic"/>
          <w:sz w:val="26"/>
          <w:szCs w:val="26"/>
          <w:rtl/>
        </w:rPr>
        <w:t xml:space="preserve"> </w:t>
      </w:r>
      <w:r w:rsidR="00335FE5" w:rsidRPr="00731C9A">
        <w:rPr>
          <w:rFonts w:ascii="Simplified Arabic" w:hAnsi="Simplified Arabic" w:cs="Simplified Arabic"/>
          <w:sz w:val="26"/>
          <w:szCs w:val="26"/>
          <w:rtl/>
        </w:rPr>
        <w:t>عمل،</w:t>
      </w:r>
      <w:r w:rsidR="00D92DE1" w:rsidRPr="00731C9A">
        <w:rPr>
          <w:rFonts w:ascii="Simplified Arabic" w:hAnsi="Simplified Arabic" w:cs="Simplified Arabic"/>
          <w:sz w:val="26"/>
          <w:szCs w:val="26"/>
          <w:rtl/>
        </w:rPr>
        <w:t xml:space="preserve"> </w:t>
      </w:r>
      <w:r w:rsidR="00CB0FBD" w:rsidRPr="00731C9A">
        <w:rPr>
          <w:rFonts w:ascii="Simplified Arabic" w:hAnsi="Simplified Arabic" w:cs="Simplified Arabic"/>
          <w:sz w:val="26"/>
          <w:szCs w:val="26"/>
          <w:rtl/>
        </w:rPr>
        <w:t>بينما</w:t>
      </w:r>
      <w:r w:rsidR="00D92DE1" w:rsidRPr="00731C9A">
        <w:rPr>
          <w:rFonts w:ascii="Simplified Arabic" w:hAnsi="Simplified Arabic" w:cs="Simplified Arabic"/>
          <w:sz w:val="26"/>
          <w:szCs w:val="26"/>
          <w:rtl/>
        </w:rPr>
        <w:t xml:space="preserve"> </w:t>
      </w:r>
      <w:r w:rsidR="00BF7C88" w:rsidRPr="00731C9A">
        <w:rPr>
          <w:rFonts w:ascii="Simplified Arabic" w:hAnsi="Simplified Arabic" w:cs="Simplified Arabic"/>
          <w:sz w:val="26"/>
          <w:szCs w:val="26"/>
          <w:rtl/>
        </w:rPr>
        <w:t>5</w:t>
      </w:r>
      <w:r w:rsidR="00C35BE2" w:rsidRPr="00731C9A">
        <w:rPr>
          <w:rFonts w:ascii="Simplified Arabic" w:hAnsi="Simplified Arabic" w:cs="Simplified Arabic"/>
          <w:sz w:val="26"/>
          <w:szCs w:val="26"/>
          <w:rtl/>
        </w:rPr>
        <w:t>1</w:t>
      </w:r>
      <w:r w:rsidRPr="00731C9A">
        <w:rPr>
          <w:rFonts w:ascii="Simplified Arabic" w:hAnsi="Simplified Arabic" w:cs="Simplified Arabic"/>
          <w:sz w:val="26"/>
          <w:szCs w:val="26"/>
          <w:rtl/>
        </w:rPr>
        <w:t>%</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النساء</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العاملات</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بأجر</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يحصلن</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على</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إجازة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أمومة</w:t>
      </w:r>
      <w:r w:rsidR="00D92DE1" w:rsidRPr="00731C9A">
        <w:rPr>
          <w:rFonts w:ascii="Simplified Arabic" w:hAnsi="Simplified Arabic" w:cs="Simplified Arabic"/>
          <w:sz w:val="26"/>
          <w:szCs w:val="26"/>
          <w:rtl/>
        </w:rPr>
        <w:t xml:space="preserve"> </w:t>
      </w:r>
      <w:r w:rsidRPr="00731C9A">
        <w:rPr>
          <w:rFonts w:ascii="Simplified Arabic" w:hAnsi="Simplified Arabic" w:cs="Simplified Arabic"/>
          <w:sz w:val="26"/>
          <w:szCs w:val="26"/>
          <w:rtl/>
        </w:rPr>
        <w:t>مدفوعة</w:t>
      </w:r>
      <w:r w:rsidR="00D92DE1" w:rsidRPr="00731C9A">
        <w:rPr>
          <w:rFonts w:ascii="Simplified Arabic" w:hAnsi="Simplified Arabic" w:cs="Simplified Arabic"/>
          <w:sz w:val="26"/>
          <w:szCs w:val="26"/>
          <w:rtl/>
        </w:rPr>
        <w:t xml:space="preserve"> </w:t>
      </w:r>
      <w:r w:rsidR="000C5C5D" w:rsidRPr="00731C9A">
        <w:rPr>
          <w:rFonts w:ascii="Simplified Arabic" w:hAnsi="Simplified Arabic" w:cs="Simplified Arabic"/>
          <w:sz w:val="26"/>
          <w:szCs w:val="26"/>
          <w:rtl/>
        </w:rPr>
        <w:t>الأجر</w:t>
      </w:r>
      <w:r w:rsidR="00D92DE1" w:rsidRPr="00731C9A">
        <w:rPr>
          <w:rFonts w:ascii="Simplified Arabic" w:hAnsi="Simplified Arabic" w:cs="Simplified Arabic"/>
          <w:sz w:val="26"/>
          <w:szCs w:val="26"/>
          <w:rtl/>
        </w:rPr>
        <w:t xml:space="preserve"> </w:t>
      </w:r>
      <w:r w:rsidR="006A4C47" w:rsidRPr="00731C9A">
        <w:rPr>
          <w:rFonts w:ascii="Simplified Arabic" w:hAnsi="Simplified Arabic" w:cs="Simplified Arabic"/>
          <w:sz w:val="26"/>
          <w:szCs w:val="26"/>
          <w:rtl/>
        </w:rPr>
        <w:t>في</w:t>
      </w:r>
      <w:r w:rsidR="00D92DE1" w:rsidRPr="00731C9A">
        <w:rPr>
          <w:rFonts w:ascii="Simplified Arabic" w:hAnsi="Simplified Arabic" w:cs="Simplified Arabic"/>
          <w:sz w:val="26"/>
          <w:szCs w:val="26"/>
          <w:rtl/>
        </w:rPr>
        <w:t xml:space="preserve"> </w:t>
      </w:r>
      <w:r w:rsidR="00776173" w:rsidRPr="00731C9A">
        <w:rPr>
          <w:rFonts w:ascii="Simplified Arabic" w:hAnsi="Simplified Arabic" w:cs="Simplified Arabic"/>
          <w:sz w:val="26"/>
          <w:szCs w:val="26"/>
          <w:rtl/>
        </w:rPr>
        <w:t>ال</w:t>
      </w:r>
      <w:r w:rsidR="00C35BE2" w:rsidRPr="00731C9A">
        <w:rPr>
          <w:rFonts w:ascii="Simplified Arabic" w:hAnsi="Simplified Arabic" w:cs="Simplified Arabic"/>
          <w:sz w:val="26"/>
          <w:szCs w:val="26"/>
          <w:rtl/>
        </w:rPr>
        <w:t>عام</w:t>
      </w:r>
      <w:r w:rsidR="00D92DE1" w:rsidRPr="00731C9A">
        <w:rPr>
          <w:rFonts w:ascii="Simplified Arabic" w:hAnsi="Simplified Arabic" w:cs="Simplified Arabic"/>
          <w:sz w:val="26"/>
          <w:szCs w:val="26"/>
          <w:rtl/>
        </w:rPr>
        <w:t xml:space="preserve"> </w:t>
      </w:r>
      <w:r w:rsidR="006A4C47" w:rsidRPr="00731C9A">
        <w:rPr>
          <w:rFonts w:ascii="Simplified Arabic" w:hAnsi="Simplified Arabic" w:cs="Simplified Arabic"/>
          <w:sz w:val="26"/>
          <w:szCs w:val="26"/>
          <w:rtl/>
        </w:rPr>
        <w:t>202</w:t>
      </w:r>
      <w:r w:rsidR="00C35BE2" w:rsidRPr="00731C9A">
        <w:rPr>
          <w:rFonts w:ascii="Simplified Arabic" w:hAnsi="Simplified Arabic" w:cs="Simplified Arabic"/>
          <w:sz w:val="26"/>
          <w:szCs w:val="26"/>
          <w:rtl/>
        </w:rPr>
        <w:t>4.</w:t>
      </w:r>
    </w:p>
    <w:p w:rsidR="00776173" w:rsidRPr="00BF4A21" w:rsidRDefault="00776173" w:rsidP="00776173">
      <w:pPr>
        <w:widowControl w:val="0"/>
        <w:jc w:val="lowKashida"/>
        <w:rPr>
          <w:rFonts w:ascii="Simplified Arabic" w:hAnsi="Simplified Arabic" w:cs="Simplified Arabic"/>
          <w:color w:val="000000"/>
          <w:sz w:val="16"/>
          <w:szCs w:val="16"/>
          <w:rtl/>
        </w:rPr>
      </w:pPr>
    </w:p>
    <w:p w:rsidR="00FE60B8" w:rsidRDefault="00FE60B8" w:rsidP="00BA782A">
      <w:pPr>
        <w:jc w:val="both"/>
        <w:rPr>
          <w:rtl/>
        </w:rPr>
      </w:pPr>
    </w:p>
    <w:p w:rsidR="00031089" w:rsidRPr="00EB298C" w:rsidRDefault="00031089" w:rsidP="00776173">
      <w:pPr>
        <w:jc w:val="both"/>
        <w:rPr>
          <w:rtl/>
        </w:rPr>
      </w:pPr>
    </w:p>
    <w:sectPr w:rsidR="00031089" w:rsidRPr="00EB298C" w:rsidSect="00731C9A">
      <w:footerReference w:type="even" r:id="rId12"/>
      <w:footerReference w:type="default" r:id="rId13"/>
      <w:footerReference w:type="first" r:id="rId14"/>
      <w:pgSz w:w="12240" w:h="15840"/>
      <w:pgMar w:top="990" w:right="1041" w:bottom="719" w:left="720" w:header="180" w:footer="26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DD" w:rsidRDefault="00390DDD">
      <w:r>
        <w:separator/>
      </w:r>
    </w:p>
  </w:endnote>
  <w:endnote w:type="continuationSeparator" w:id="0">
    <w:p w:rsidR="00390DDD" w:rsidRDefault="003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9863DB">
    <w:pPr>
      <w:pStyle w:val="Footer"/>
      <w:framePr w:wrap="around" w:vAnchor="text" w:hAnchor="margin" w:xAlign="center" w:y="1"/>
      <w:rPr>
        <w:rStyle w:val="PageNumber"/>
        <w:rtl/>
      </w:rPr>
    </w:pPr>
    <w:r>
      <w:rPr>
        <w:rStyle w:val="PageNumber"/>
        <w:rtl/>
      </w:rPr>
      <w:fldChar w:fldCharType="begin"/>
    </w:r>
    <w:r w:rsidR="00D542A0">
      <w:rPr>
        <w:rStyle w:val="PageNumber"/>
      </w:rPr>
      <w:instrText xml:space="preserve">PAGE  </w:instrText>
    </w:r>
    <w:r>
      <w:rPr>
        <w:rStyle w:val="PageNumber"/>
        <w:rtl/>
      </w:rPr>
      <w:fldChar w:fldCharType="end"/>
    </w:r>
  </w:p>
  <w:p w:rsidR="00D542A0" w:rsidRDefault="00D542A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9863DB">
    <w:pPr>
      <w:pStyle w:val="Footer"/>
      <w:framePr w:wrap="around" w:vAnchor="text" w:hAnchor="margin" w:xAlign="center" w:y="1"/>
      <w:jc w:val="center"/>
      <w:rPr>
        <w:rStyle w:val="PageNumber"/>
        <w:sz w:val="20"/>
        <w:szCs w:val="20"/>
        <w:rtl/>
      </w:rPr>
    </w:pPr>
    <w:r>
      <w:rPr>
        <w:rStyle w:val="PageNumber"/>
        <w:sz w:val="20"/>
        <w:szCs w:val="20"/>
        <w:rtl/>
      </w:rPr>
      <w:fldChar w:fldCharType="begin"/>
    </w:r>
    <w:r w:rsidR="00D542A0">
      <w:rPr>
        <w:rStyle w:val="PageNumber"/>
        <w:sz w:val="20"/>
        <w:szCs w:val="20"/>
      </w:rPr>
      <w:instrText xml:space="preserve">PAGE  </w:instrText>
    </w:r>
    <w:r>
      <w:rPr>
        <w:rStyle w:val="PageNumber"/>
        <w:sz w:val="20"/>
        <w:szCs w:val="20"/>
        <w:rtl/>
      </w:rPr>
      <w:fldChar w:fldCharType="separate"/>
    </w:r>
    <w:r w:rsidR="008F526B">
      <w:rPr>
        <w:rStyle w:val="PageNumber"/>
        <w:noProof/>
        <w:sz w:val="20"/>
        <w:szCs w:val="20"/>
        <w:rtl/>
      </w:rPr>
      <w:t>2</w:t>
    </w:r>
    <w:r>
      <w:rPr>
        <w:rStyle w:val="PageNumber"/>
        <w:sz w:val="20"/>
        <w:szCs w:val="20"/>
        <w:rtl/>
      </w:rPr>
      <w:fldChar w:fldCharType="end"/>
    </w:r>
  </w:p>
  <w:p w:rsidR="00D542A0" w:rsidRPr="009313A8" w:rsidRDefault="00D542A0" w:rsidP="00EA0113">
    <w:pPr>
      <w:tabs>
        <w:tab w:val="num" w:pos="610"/>
      </w:tabs>
      <w:jc w:val="both"/>
      <w:rPr>
        <w:rFonts w:cs="Simplified Arabic"/>
        <w:b/>
        <w:bCs/>
        <w:color w:val="000000"/>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5793807"/>
      <w:docPartObj>
        <w:docPartGallery w:val="Page Numbers (Bottom of Page)"/>
        <w:docPartUnique/>
      </w:docPartObj>
    </w:sdtPr>
    <w:sdtEndPr>
      <w:rPr>
        <w:noProof/>
      </w:rPr>
    </w:sdtEndPr>
    <w:sdtContent>
      <w:p w:rsidR="00731C9A" w:rsidRDefault="00731C9A">
        <w:pPr>
          <w:pStyle w:val="Footer"/>
          <w:jc w:val="center"/>
        </w:pPr>
        <w:r>
          <w:fldChar w:fldCharType="begin"/>
        </w:r>
        <w:r>
          <w:instrText xml:space="preserve"> PAGE   \* MERGEFORMAT </w:instrText>
        </w:r>
        <w:r>
          <w:fldChar w:fldCharType="separate"/>
        </w:r>
        <w:r w:rsidR="008F526B">
          <w:rPr>
            <w:noProof/>
            <w:rtl/>
          </w:rPr>
          <w:t>1</w:t>
        </w:r>
        <w:r>
          <w:rPr>
            <w:noProof/>
          </w:rPr>
          <w:fldChar w:fldCharType="end"/>
        </w:r>
      </w:p>
    </w:sdtContent>
  </w:sdt>
  <w:p w:rsidR="00731C9A" w:rsidRDefault="0073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DD" w:rsidRDefault="00390DDD">
      <w:r>
        <w:separator/>
      </w:r>
    </w:p>
  </w:footnote>
  <w:footnote w:type="continuationSeparator" w:id="0">
    <w:p w:rsidR="00390DDD" w:rsidRDefault="00390DDD">
      <w:r>
        <w:continuationSeparator/>
      </w:r>
    </w:p>
  </w:footnote>
  <w:footnote w:id="1">
    <w:p w:rsidR="00A86F4B" w:rsidRPr="00731C9A" w:rsidRDefault="00A86F4B" w:rsidP="00A86F4B">
      <w:pPr>
        <w:pStyle w:val="FootnoteText"/>
        <w:jc w:val="both"/>
      </w:pPr>
      <w:r w:rsidRPr="00731C9A">
        <w:rPr>
          <w:rStyle w:val="FootnoteReference"/>
          <w:b/>
          <w:bCs/>
        </w:rPr>
        <w:footnoteRef/>
      </w:r>
      <w:r w:rsidR="001055D6" w:rsidRPr="00731C9A">
        <w:rPr>
          <w:rtl/>
        </w:rPr>
        <w:t xml:space="preserve"> </w:t>
      </w:r>
      <w:r w:rsidRPr="00731C9A">
        <w:rPr>
          <w:rFonts w:hint="cs"/>
          <w:rtl/>
        </w:rPr>
        <w:t>تتضمن:</w:t>
      </w:r>
      <w:r w:rsidR="001055D6" w:rsidRPr="00731C9A">
        <w:rPr>
          <w:rFonts w:hint="cs"/>
          <w:rtl/>
        </w:rPr>
        <w:t xml:space="preserve"> </w:t>
      </w:r>
      <w:r w:rsidRPr="00731C9A">
        <w:rPr>
          <w:rtl/>
        </w:rPr>
        <w:t>الإدارة</w:t>
      </w:r>
      <w:r w:rsidR="001055D6" w:rsidRPr="00731C9A">
        <w:rPr>
          <w:rtl/>
        </w:rPr>
        <w:t xml:space="preserve"> </w:t>
      </w:r>
      <w:r w:rsidRPr="00731C9A">
        <w:rPr>
          <w:rtl/>
        </w:rPr>
        <w:t>العامة</w:t>
      </w:r>
      <w:r w:rsidR="001055D6" w:rsidRPr="00731C9A">
        <w:rPr>
          <w:rtl/>
        </w:rPr>
        <w:t xml:space="preserve"> </w:t>
      </w:r>
      <w:r w:rsidRPr="00731C9A">
        <w:rPr>
          <w:rtl/>
        </w:rPr>
        <w:t>والدفاع</w:t>
      </w:r>
      <w:r w:rsidR="001055D6" w:rsidRPr="00731C9A">
        <w:rPr>
          <w:rtl/>
        </w:rPr>
        <w:t xml:space="preserve"> </w:t>
      </w:r>
      <w:r w:rsidRPr="00731C9A">
        <w:rPr>
          <w:rtl/>
        </w:rPr>
        <w:t>والضمان</w:t>
      </w:r>
      <w:r w:rsidR="001055D6" w:rsidRPr="00731C9A">
        <w:rPr>
          <w:rtl/>
        </w:rPr>
        <w:t xml:space="preserve"> </w:t>
      </w:r>
      <w:r w:rsidRPr="00731C9A">
        <w:rPr>
          <w:rFonts w:hint="cs"/>
          <w:rtl/>
        </w:rPr>
        <w:t>الاجتماعي</w:t>
      </w:r>
      <w:r w:rsidR="001055D6" w:rsidRPr="00731C9A">
        <w:rPr>
          <w:rtl/>
        </w:rPr>
        <w:t xml:space="preserve"> ال</w:t>
      </w:r>
      <w:r w:rsidR="001055D6" w:rsidRPr="00731C9A">
        <w:rPr>
          <w:rFonts w:hint="cs"/>
          <w:rtl/>
        </w:rPr>
        <w:t>إ</w:t>
      </w:r>
      <w:r w:rsidR="001055D6" w:rsidRPr="00731C9A">
        <w:rPr>
          <w:rtl/>
        </w:rPr>
        <w:t>لزامي</w:t>
      </w:r>
      <w:r w:rsidRPr="00731C9A">
        <w:rPr>
          <w:rFonts w:hint="cs"/>
          <w:rtl/>
        </w:rPr>
        <w:t>،</w:t>
      </w:r>
      <w:r w:rsidR="001055D6" w:rsidRPr="00731C9A">
        <w:rPr>
          <w:rFonts w:hint="cs"/>
          <w:rtl/>
        </w:rPr>
        <w:t xml:space="preserve"> </w:t>
      </w:r>
      <w:r w:rsidRPr="00731C9A">
        <w:rPr>
          <w:rFonts w:hint="cs"/>
          <w:rtl/>
        </w:rPr>
        <w:t>أنشطة</w:t>
      </w:r>
      <w:r w:rsidR="001055D6" w:rsidRPr="00731C9A">
        <w:rPr>
          <w:rFonts w:hint="cs"/>
          <w:rtl/>
        </w:rPr>
        <w:t xml:space="preserve"> </w:t>
      </w:r>
      <w:r w:rsidRPr="00731C9A">
        <w:rPr>
          <w:rFonts w:hint="cs"/>
          <w:rtl/>
        </w:rPr>
        <w:t>التعليم،</w:t>
      </w:r>
      <w:r w:rsidR="001055D6" w:rsidRPr="00731C9A">
        <w:rPr>
          <w:rFonts w:hint="cs"/>
          <w:rtl/>
        </w:rPr>
        <w:t xml:space="preserve"> </w:t>
      </w:r>
      <w:r w:rsidRPr="00731C9A">
        <w:rPr>
          <w:rFonts w:hint="cs"/>
          <w:rtl/>
        </w:rPr>
        <w:t>ا</w:t>
      </w:r>
      <w:r w:rsidRPr="00731C9A">
        <w:rPr>
          <w:rtl/>
        </w:rPr>
        <w:t>لأنشطة</w:t>
      </w:r>
      <w:r w:rsidR="001055D6" w:rsidRPr="00731C9A">
        <w:rPr>
          <w:rtl/>
        </w:rPr>
        <w:t xml:space="preserve"> </w:t>
      </w:r>
      <w:r w:rsidRPr="00731C9A">
        <w:rPr>
          <w:rtl/>
        </w:rPr>
        <w:t>في</w:t>
      </w:r>
      <w:r w:rsidR="001055D6" w:rsidRPr="00731C9A">
        <w:rPr>
          <w:rtl/>
        </w:rPr>
        <w:t xml:space="preserve"> </w:t>
      </w:r>
      <w:r w:rsidRPr="00731C9A">
        <w:rPr>
          <w:rtl/>
        </w:rPr>
        <w:t>مجال</w:t>
      </w:r>
      <w:r w:rsidR="001055D6" w:rsidRPr="00731C9A">
        <w:rPr>
          <w:rtl/>
        </w:rPr>
        <w:t xml:space="preserve"> </w:t>
      </w:r>
      <w:r w:rsidRPr="00731C9A">
        <w:rPr>
          <w:rtl/>
        </w:rPr>
        <w:t>صحة</w:t>
      </w:r>
      <w:r w:rsidR="001055D6" w:rsidRPr="00731C9A">
        <w:rPr>
          <w:rtl/>
        </w:rPr>
        <w:t xml:space="preserve"> </w:t>
      </w:r>
      <w:r w:rsidRPr="00731C9A">
        <w:rPr>
          <w:rtl/>
        </w:rPr>
        <w:t>الإنسان</w:t>
      </w:r>
      <w:r w:rsidRPr="00731C9A">
        <w:rPr>
          <w:rFonts w:hint="cs"/>
          <w:rtl/>
        </w:rPr>
        <w:t>،</w:t>
      </w:r>
      <w:r w:rsidR="001055D6" w:rsidRPr="00731C9A">
        <w:rPr>
          <w:rFonts w:hint="cs"/>
          <w:rtl/>
        </w:rPr>
        <w:t xml:space="preserve"> </w:t>
      </w:r>
      <w:r w:rsidRPr="00731C9A">
        <w:rPr>
          <w:rtl/>
        </w:rPr>
        <w:t>أنشطة</w:t>
      </w:r>
      <w:r w:rsidR="001055D6" w:rsidRPr="00731C9A">
        <w:rPr>
          <w:rtl/>
        </w:rPr>
        <w:t xml:space="preserve"> </w:t>
      </w:r>
      <w:r w:rsidRPr="00731C9A">
        <w:rPr>
          <w:rtl/>
        </w:rPr>
        <w:t>العمل</w:t>
      </w:r>
      <w:r w:rsidR="001055D6" w:rsidRPr="00731C9A">
        <w:rPr>
          <w:rtl/>
        </w:rPr>
        <w:t xml:space="preserve"> </w:t>
      </w:r>
      <w:r w:rsidRPr="00731C9A">
        <w:rPr>
          <w:rtl/>
        </w:rPr>
        <w:t>الاجتماعي</w:t>
      </w:r>
      <w:r w:rsidRPr="00731C9A">
        <w:rPr>
          <w:rFonts w:hint="cs"/>
          <w:rtl/>
        </w:rPr>
        <w:t>،</w:t>
      </w:r>
      <w:r w:rsidR="001055D6" w:rsidRPr="00731C9A">
        <w:rPr>
          <w:rFonts w:hint="cs"/>
          <w:rtl/>
        </w:rPr>
        <w:t xml:space="preserve"> الأنشطة</w:t>
      </w:r>
      <w:r w:rsidR="001055D6" w:rsidRPr="00731C9A">
        <w:rPr>
          <w:rtl/>
        </w:rPr>
        <w:t xml:space="preserve"> </w:t>
      </w:r>
      <w:r w:rsidR="001055D6" w:rsidRPr="00731C9A">
        <w:rPr>
          <w:rFonts w:hint="cs"/>
          <w:rtl/>
        </w:rPr>
        <w:t>الإبداعية</w:t>
      </w:r>
      <w:r w:rsidR="001055D6" w:rsidRPr="00731C9A">
        <w:rPr>
          <w:rtl/>
        </w:rPr>
        <w:t xml:space="preserve"> </w:t>
      </w:r>
      <w:r w:rsidRPr="00731C9A">
        <w:rPr>
          <w:rtl/>
        </w:rPr>
        <w:t>والفنون</w:t>
      </w:r>
      <w:r w:rsidR="001055D6" w:rsidRPr="00731C9A">
        <w:rPr>
          <w:rtl/>
        </w:rPr>
        <w:t xml:space="preserve"> </w:t>
      </w:r>
      <w:r w:rsidR="001055D6" w:rsidRPr="00731C9A">
        <w:rPr>
          <w:rFonts w:hint="cs"/>
          <w:rtl/>
        </w:rPr>
        <w:t>وأنشطة</w:t>
      </w:r>
      <w:r w:rsidR="001055D6" w:rsidRPr="00731C9A">
        <w:rPr>
          <w:rtl/>
        </w:rPr>
        <w:t xml:space="preserve"> </w:t>
      </w:r>
      <w:r w:rsidRPr="00731C9A">
        <w:rPr>
          <w:rtl/>
        </w:rPr>
        <w:t>الترفيه</w:t>
      </w:r>
      <w:r w:rsidRPr="00731C9A">
        <w:rPr>
          <w:rFonts w:hint="cs"/>
          <w:rtl/>
        </w:rPr>
        <w:t>،</w:t>
      </w:r>
      <w:r w:rsidR="001055D6" w:rsidRPr="00731C9A">
        <w:rPr>
          <w:rFonts w:hint="cs"/>
          <w:rtl/>
        </w:rPr>
        <w:t xml:space="preserve"> </w:t>
      </w:r>
      <w:r w:rsidRPr="00731C9A">
        <w:rPr>
          <w:rtl/>
        </w:rPr>
        <w:t>أنشطة</w:t>
      </w:r>
      <w:r w:rsidR="001055D6" w:rsidRPr="00731C9A">
        <w:rPr>
          <w:rtl/>
        </w:rPr>
        <w:t xml:space="preserve"> </w:t>
      </w:r>
      <w:r w:rsidRPr="00731C9A">
        <w:rPr>
          <w:rtl/>
        </w:rPr>
        <w:t>المكتبات</w:t>
      </w:r>
      <w:r w:rsidR="001055D6" w:rsidRPr="00731C9A">
        <w:rPr>
          <w:rtl/>
        </w:rPr>
        <w:t xml:space="preserve"> </w:t>
      </w:r>
      <w:r w:rsidRPr="00731C9A">
        <w:rPr>
          <w:rtl/>
        </w:rPr>
        <w:t>والمحفوظات</w:t>
      </w:r>
      <w:r w:rsidR="001055D6" w:rsidRPr="00731C9A">
        <w:rPr>
          <w:rtl/>
        </w:rPr>
        <w:t xml:space="preserve"> </w:t>
      </w:r>
      <w:r w:rsidRPr="00731C9A">
        <w:rPr>
          <w:rtl/>
        </w:rPr>
        <w:t>والمتاحف</w:t>
      </w:r>
      <w:r w:rsidR="001055D6" w:rsidRPr="00731C9A">
        <w:rPr>
          <w:rtl/>
        </w:rPr>
        <w:t xml:space="preserve"> </w:t>
      </w:r>
      <w:r w:rsidRPr="00731C9A">
        <w:rPr>
          <w:rtl/>
        </w:rPr>
        <w:t>والأنشطة</w:t>
      </w:r>
      <w:r w:rsidR="001055D6" w:rsidRPr="00731C9A">
        <w:rPr>
          <w:rtl/>
        </w:rPr>
        <w:t xml:space="preserve"> </w:t>
      </w:r>
      <w:r w:rsidRPr="00731C9A">
        <w:rPr>
          <w:rtl/>
        </w:rPr>
        <w:t>الثقافية</w:t>
      </w:r>
      <w:r w:rsidR="001055D6" w:rsidRPr="00731C9A">
        <w:rPr>
          <w:rtl/>
        </w:rPr>
        <w:t xml:space="preserve"> </w:t>
      </w:r>
      <w:r w:rsidRPr="00731C9A">
        <w:rPr>
          <w:rtl/>
        </w:rPr>
        <w:t>الأخرى</w:t>
      </w:r>
      <w:r w:rsidRPr="00731C9A">
        <w:rPr>
          <w:rFonts w:hint="cs"/>
          <w:rtl/>
        </w:rPr>
        <w:t>،</w:t>
      </w:r>
      <w:r w:rsidR="001055D6" w:rsidRPr="00731C9A">
        <w:rPr>
          <w:rFonts w:hint="cs"/>
          <w:rtl/>
        </w:rPr>
        <w:t xml:space="preserve"> الأنشطة</w:t>
      </w:r>
      <w:r w:rsidR="001055D6" w:rsidRPr="00731C9A">
        <w:rPr>
          <w:rtl/>
        </w:rPr>
        <w:t xml:space="preserve"> </w:t>
      </w:r>
      <w:r w:rsidRPr="00731C9A">
        <w:rPr>
          <w:rtl/>
        </w:rPr>
        <w:t>الرياضية</w:t>
      </w:r>
      <w:r w:rsidR="001055D6" w:rsidRPr="00731C9A">
        <w:rPr>
          <w:rtl/>
        </w:rPr>
        <w:t xml:space="preserve"> </w:t>
      </w:r>
      <w:r w:rsidR="001055D6" w:rsidRPr="00731C9A">
        <w:rPr>
          <w:rFonts w:hint="cs"/>
          <w:rtl/>
        </w:rPr>
        <w:t>وأنشطة</w:t>
      </w:r>
      <w:r w:rsidR="001055D6" w:rsidRPr="00731C9A">
        <w:rPr>
          <w:rtl/>
        </w:rPr>
        <w:t xml:space="preserve"> </w:t>
      </w:r>
      <w:r w:rsidRPr="00731C9A">
        <w:rPr>
          <w:rtl/>
        </w:rPr>
        <w:t>الترفيه</w:t>
      </w:r>
      <w:r w:rsidR="001055D6" w:rsidRPr="00731C9A">
        <w:rPr>
          <w:rtl/>
        </w:rPr>
        <w:t xml:space="preserve"> </w:t>
      </w:r>
      <w:r w:rsidRPr="00731C9A">
        <w:rPr>
          <w:rtl/>
        </w:rPr>
        <w:t>والتسلية</w:t>
      </w:r>
      <w:r w:rsidRPr="00731C9A">
        <w:rPr>
          <w:rFonts w:hint="cs"/>
          <w:rtl/>
        </w:rPr>
        <w:t>،</w:t>
      </w:r>
      <w:r w:rsidR="001055D6" w:rsidRPr="00731C9A">
        <w:rPr>
          <w:rFonts w:hint="cs"/>
          <w:rtl/>
        </w:rPr>
        <w:t xml:space="preserve"> </w:t>
      </w:r>
      <w:r w:rsidRPr="00731C9A">
        <w:rPr>
          <w:rtl/>
        </w:rPr>
        <w:t>أنشطة</w:t>
      </w:r>
      <w:r w:rsidR="001055D6" w:rsidRPr="00731C9A">
        <w:rPr>
          <w:rtl/>
        </w:rPr>
        <w:t xml:space="preserve"> </w:t>
      </w:r>
      <w:r w:rsidRPr="00731C9A">
        <w:rPr>
          <w:rtl/>
        </w:rPr>
        <w:t>المنظمات</w:t>
      </w:r>
      <w:r w:rsidR="001055D6" w:rsidRPr="00731C9A">
        <w:rPr>
          <w:rtl/>
        </w:rPr>
        <w:t xml:space="preserve"> </w:t>
      </w:r>
      <w:r w:rsidRPr="00731C9A">
        <w:rPr>
          <w:rtl/>
        </w:rPr>
        <w:t>ذات</w:t>
      </w:r>
      <w:r w:rsidR="001055D6" w:rsidRPr="00731C9A">
        <w:rPr>
          <w:rtl/>
        </w:rPr>
        <w:t xml:space="preserve"> </w:t>
      </w:r>
      <w:r w:rsidRPr="00731C9A">
        <w:rPr>
          <w:rtl/>
        </w:rPr>
        <w:t>العضوية</w:t>
      </w:r>
      <w:r w:rsidRPr="00731C9A">
        <w:rPr>
          <w:rFonts w:hint="cs"/>
          <w:rtl/>
        </w:rPr>
        <w:t>،</w:t>
      </w:r>
      <w:r w:rsidR="001055D6" w:rsidRPr="00731C9A">
        <w:rPr>
          <w:rFonts w:hint="cs"/>
          <w:rtl/>
        </w:rPr>
        <w:t xml:space="preserve"> </w:t>
      </w:r>
      <w:r w:rsidRPr="00731C9A">
        <w:rPr>
          <w:rtl/>
        </w:rPr>
        <w:t>أنشطة</w:t>
      </w:r>
      <w:r w:rsidR="001055D6" w:rsidRPr="00731C9A">
        <w:rPr>
          <w:rtl/>
        </w:rPr>
        <w:t xml:space="preserve"> </w:t>
      </w:r>
      <w:r w:rsidRPr="00731C9A">
        <w:rPr>
          <w:rtl/>
        </w:rPr>
        <w:t>الخدمات</w:t>
      </w:r>
      <w:r w:rsidR="001055D6" w:rsidRPr="00731C9A">
        <w:rPr>
          <w:rtl/>
        </w:rPr>
        <w:t xml:space="preserve"> </w:t>
      </w:r>
      <w:r w:rsidRPr="00731C9A">
        <w:rPr>
          <w:rtl/>
        </w:rPr>
        <w:t>الشخصية</w:t>
      </w:r>
      <w:r w:rsidR="001055D6" w:rsidRPr="00731C9A">
        <w:rPr>
          <w:rtl/>
        </w:rPr>
        <w:t xml:space="preserve"> </w:t>
      </w:r>
      <w:r w:rsidRPr="00731C9A">
        <w:rPr>
          <w:rtl/>
        </w:rPr>
        <w:t>الأخرى</w:t>
      </w:r>
      <w:r w:rsidRPr="00731C9A">
        <w:rPr>
          <w:rFonts w:hint="cs"/>
          <w:rtl/>
        </w:rPr>
        <w:t>،</w:t>
      </w:r>
      <w:r w:rsidR="001055D6" w:rsidRPr="00731C9A">
        <w:rPr>
          <w:rFonts w:hint="cs"/>
          <w:rtl/>
        </w:rPr>
        <w:t xml:space="preserve"> </w:t>
      </w:r>
      <w:r w:rsidRPr="00731C9A">
        <w:rPr>
          <w:rtl/>
        </w:rPr>
        <w:t>أنشطة</w:t>
      </w:r>
      <w:r w:rsidR="001055D6" w:rsidRPr="00731C9A">
        <w:rPr>
          <w:rtl/>
        </w:rPr>
        <w:t xml:space="preserve"> </w:t>
      </w:r>
      <w:r w:rsidR="001055D6" w:rsidRPr="00731C9A">
        <w:rPr>
          <w:rFonts w:hint="cs"/>
          <w:rtl/>
        </w:rPr>
        <w:t>الأسر</w:t>
      </w:r>
      <w:r w:rsidR="001055D6" w:rsidRPr="00731C9A">
        <w:rPr>
          <w:rtl/>
        </w:rPr>
        <w:t xml:space="preserve"> </w:t>
      </w:r>
      <w:r w:rsidRPr="00731C9A">
        <w:rPr>
          <w:rtl/>
        </w:rPr>
        <w:t>المعيشية</w:t>
      </w:r>
      <w:r w:rsidR="001055D6" w:rsidRPr="00731C9A">
        <w:rPr>
          <w:rtl/>
        </w:rPr>
        <w:t xml:space="preserve"> </w:t>
      </w:r>
      <w:r w:rsidRPr="00731C9A">
        <w:rPr>
          <w:rtl/>
        </w:rPr>
        <w:t>التي</w:t>
      </w:r>
      <w:r w:rsidR="001055D6" w:rsidRPr="00731C9A">
        <w:rPr>
          <w:rtl/>
        </w:rPr>
        <w:t xml:space="preserve"> </w:t>
      </w:r>
      <w:r w:rsidRPr="00731C9A">
        <w:rPr>
          <w:rtl/>
        </w:rPr>
        <w:t>تستخدم</w:t>
      </w:r>
      <w:r w:rsidR="001055D6" w:rsidRPr="00731C9A">
        <w:rPr>
          <w:rtl/>
        </w:rPr>
        <w:t xml:space="preserve"> </w:t>
      </w:r>
      <w:r w:rsidR="001055D6" w:rsidRPr="00731C9A">
        <w:rPr>
          <w:rFonts w:hint="cs"/>
          <w:rtl/>
        </w:rPr>
        <w:t>أ</w:t>
      </w:r>
      <w:r w:rsidRPr="00731C9A">
        <w:rPr>
          <w:rtl/>
        </w:rPr>
        <w:t>فراداً</w:t>
      </w:r>
      <w:r w:rsidR="001055D6" w:rsidRPr="00731C9A">
        <w:rPr>
          <w:rtl/>
        </w:rPr>
        <w:t xml:space="preserve"> </w:t>
      </w:r>
      <w:r w:rsidRPr="00731C9A">
        <w:rPr>
          <w:rtl/>
        </w:rPr>
        <w:t>للعمل</w:t>
      </w:r>
      <w:r w:rsidR="001055D6" w:rsidRPr="00731C9A">
        <w:rPr>
          <w:rtl/>
        </w:rPr>
        <w:t xml:space="preserve"> </w:t>
      </w:r>
      <w:r w:rsidRPr="00731C9A">
        <w:rPr>
          <w:rtl/>
        </w:rPr>
        <w:t>المنزلي</w:t>
      </w:r>
      <w:r w:rsidRPr="00731C9A">
        <w:rPr>
          <w:rFonts w:hint="cs"/>
          <w:rtl/>
        </w:rPr>
        <w:t>،</w:t>
      </w:r>
      <w:r w:rsidR="001055D6" w:rsidRPr="00731C9A">
        <w:rPr>
          <w:rFonts w:hint="cs"/>
          <w:rtl/>
        </w:rPr>
        <w:t xml:space="preserve"> أنشطة</w:t>
      </w:r>
      <w:r w:rsidR="001055D6" w:rsidRPr="00731C9A">
        <w:rPr>
          <w:rtl/>
        </w:rPr>
        <w:t xml:space="preserve"> </w:t>
      </w:r>
      <w:r w:rsidRPr="00731C9A">
        <w:rPr>
          <w:rtl/>
        </w:rPr>
        <w:t>المنظمات</w:t>
      </w:r>
      <w:r w:rsidR="001055D6" w:rsidRPr="00731C9A">
        <w:rPr>
          <w:rtl/>
        </w:rPr>
        <w:t xml:space="preserve"> </w:t>
      </w:r>
      <w:r w:rsidRPr="00731C9A">
        <w:rPr>
          <w:rtl/>
        </w:rPr>
        <w:t>والهيئات</w:t>
      </w:r>
      <w:r w:rsidR="001055D6" w:rsidRPr="00731C9A">
        <w:rPr>
          <w:rtl/>
        </w:rPr>
        <w:t xml:space="preserve"> </w:t>
      </w:r>
      <w:r w:rsidRPr="00731C9A">
        <w:rPr>
          <w:rtl/>
        </w:rPr>
        <w:t>التي</w:t>
      </w:r>
      <w:r w:rsidR="001055D6" w:rsidRPr="00731C9A">
        <w:rPr>
          <w:rtl/>
        </w:rPr>
        <w:t xml:space="preserve"> </w:t>
      </w:r>
      <w:r w:rsidRPr="00731C9A">
        <w:rPr>
          <w:rtl/>
        </w:rPr>
        <w:t>تتجاوز</w:t>
      </w:r>
      <w:r w:rsidR="001055D6" w:rsidRPr="00731C9A">
        <w:rPr>
          <w:rtl/>
        </w:rPr>
        <w:t xml:space="preserve"> </w:t>
      </w:r>
      <w:r w:rsidRPr="00731C9A">
        <w:rPr>
          <w:rtl/>
        </w:rPr>
        <w:t>الحدود</w:t>
      </w:r>
      <w:r w:rsidR="001055D6" w:rsidRPr="00731C9A">
        <w:rPr>
          <w:rtl/>
        </w:rPr>
        <w:t xml:space="preserve"> </w:t>
      </w:r>
      <w:r w:rsidRPr="00731C9A">
        <w:rPr>
          <w:rtl/>
        </w:rPr>
        <w:t>الإقليمية</w:t>
      </w:r>
      <w:r w:rsidRPr="00731C9A">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4BD"/>
    <w:multiLevelType w:val="hybridMultilevel"/>
    <w:tmpl w:val="F5684854"/>
    <w:lvl w:ilvl="0" w:tplc="CDB8B178">
      <w:start w:val="2006"/>
      <w:numFmt w:val="decimal"/>
      <w:lvlText w:val="%1-"/>
      <w:lvlJc w:val="left"/>
      <w:pPr>
        <w:tabs>
          <w:tab w:val="num" w:pos="1230"/>
        </w:tabs>
        <w:ind w:left="1230" w:right="1230" w:hanging="690"/>
      </w:pPr>
      <w:rPr>
        <w:rFonts w:hint="cs"/>
      </w:rPr>
    </w:lvl>
    <w:lvl w:ilvl="1" w:tplc="04010019" w:tentative="1">
      <w:start w:val="1"/>
      <w:numFmt w:val="lowerLetter"/>
      <w:lvlText w:val="%2."/>
      <w:lvlJc w:val="left"/>
      <w:pPr>
        <w:tabs>
          <w:tab w:val="num" w:pos="1620"/>
        </w:tabs>
        <w:ind w:left="1620" w:right="1620" w:hanging="360"/>
      </w:pPr>
    </w:lvl>
    <w:lvl w:ilvl="2" w:tplc="0401001B" w:tentative="1">
      <w:start w:val="1"/>
      <w:numFmt w:val="lowerRoman"/>
      <w:lvlText w:val="%3."/>
      <w:lvlJc w:val="right"/>
      <w:pPr>
        <w:tabs>
          <w:tab w:val="num" w:pos="2340"/>
        </w:tabs>
        <w:ind w:left="2340" w:right="2340" w:hanging="180"/>
      </w:p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1" w15:restartNumberingAfterBreak="0">
    <w:nsid w:val="48B93602"/>
    <w:multiLevelType w:val="hybridMultilevel"/>
    <w:tmpl w:val="42BA5CEA"/>
    <w:lvl w:ilvl="0" w:tplc="14A20DEC">
      <w:start w:val="1"/>
      <w:numFmt w:val="bullet"/>
      <w:lvlText w:val="•"/>
      <w:lvlJc w:val="left"/>
      <w:pPr>
        <w:tabs>
          <w:tab w:val="num" w:pos="720"/>
        </w:tabs>
        <w:ind w:left="720" w:hanging="360"/>
      </w:pPr>
      <w:rPr>
        <w:rFonts w:ascii="Times New Roman" w:hAnsi="Times New Roman" w:hint="default"/>
      </w:rPr>
    </w:lvl>
    <w:lvl w:ilvl="1" w:tplc="6C0C70B2" w:tentative="1">
      <w:start w:val="1"/>
      <w:numFmt w:val="bullet"/>
      <w:lvlText w:val="•"/>
      <w:lvlJc w:val="left"/>
      <w:pPr>
        <w:tabs>
          <w:tab w:val="num" w:pos="1440"/>
        </w:tabs>
        <w:ind w:left="1440" w:hanging="360"/>
      </w:pPr>
      <w:rPr>
        <w:rFonts w:ascii="Times New Roman" w:hAnsi="Times New Roman" w:hint="default"/>
      </w:rPr>
    </w:lvl>
    <w:lvl w:ilvl="2" w:tplc="DFF8E79E" w:tentative="1">
      <w:start w:val="1"/>
      <w:numFmt w:val="bullet"/>
      <w:lvlText w:val="•"/>
      <w:lvlJc w:val="left"/>
      <w:pPr>
        <w:tabs>
          <w:tab w:val="num" w:pos="2160"/>
        </w:tabs>
        <w:ind w:left="2160" w:hanging="360"/>
      </w:pPr>
      <w:rPr>
        <w:rFonts w:ascii="Times New Roman" w:hAnsi="Times New Roman" w:hint="default"/>
      </w:rPr>
    </w:lvl>
    <w:lvl w:ilvl="3" w:tplc="19289B2E" w:tentative="1">
      <w:start w:val="1"/>
      <w:numFmt w:val="bullet"/>
      <w:lvlText w:val="•"/>
      <w:lvlJc w:val="left"/>
      <w:pPr>
        <w:tabs>
          <w:tab w:val="num" w:pos="2880"/>
        </w:tabs>
        <w:ind w:left="2880" w:hanging="360"/>
      </w:pPr>
      <w:rPr>
        <w:rFonts w:ascii="Times New Roman" w:hAnsi="Times New Roman" w:hint="default"/>
      </w:rPr>
    </w:lvl>
    <w:lvl w:ilvl="4" w:tplc="D68C39F6" w:tentative="1">
      <w:start w:val="1"/>
      <w:numFmt w:val="bullet"/>
      <w:lvlText w:val="•"/>
      <w:lvlJc w:val="left"/>
      <w:pPr>
        <w:tabs>
          <w:tab w:val="num" w:pos="3600"/>
        </w:tabs>
        <w:ind w:left="3600" w:hanging="360"/>
      </w:pPr>
      <w:rPr>
        <w:rFonts w:ascii="Times New Roman" w:hAnsi="Times New Roman" w:hint="default"/>
      </w:rPr>
    </w:lvl>
    <w:lvl w:ilvl="5" w:tplc="0D586C74" w:tentative="1">
      <w:start w:val="1"/>
      <w:numFmt w:val="bullet"/>
      <w:lvlText w:val="•"/>
      <w:lvlJc w:val="left"/>
      <w:pPr>
        <w:tabs>
          <w:tab w:val="num" w:pos="4320"/>
        </w:tabs>
        <w:ind w:left="4320" w:hanging="360"/>
      </w:pPr>
      <w:rPr>
        <w:rFonts w:ascii="Times New Roman" w:hAnsi="Times New Roman" w:hint="default"/>
      </w:rPr>
    </w:lvl>
    <w:lvl w:ilvl="6" w:tplc="FA646F86" w:tentative="1">
      <w:start w:val="1"/>
      <w:numFmt w:val="bullet"/>
      <w:lvlText w:val="•"/>
      <w:lvlJc w:val="left"/>
      <w:pPr>
        <w:tabs>
          <w:tab w:val="num" w:pos="5040"/>
        </w:tabs>
        <w:ind w:left="5040" w:hanging="360"/>
      </w:pPr>
      <w:rPr>
        <w:rFonts w:ascii="Times New Roman" w:hAnsi="Times New Roman" w:hint="default"/>
      </w:rPr>
    </w:lvl>
    <w:lvl w:ilvl="7" w:tplc="E43EC48C" w:tentative="1">
      <w:start w:val="1"/>
      <w:numFmt w:val="bullet"/>
      <w:lvlText w:val="•"/>
      <w:lvlJc w:val="left"/>
      <w:pPr>
        <w:tabs>
          <w:tab w:val="num" w:pos="5760"/>
        </w:tabs>
        <w:ind w:left="5760" w:hanging="360"/>
      </w:pPr>
      <w:rPr>
        <w:rFonts w:ascii="Times New Roman" w:hAnsi="Times New Roman" w:hint="default"/>
      </w:rPr>
    </w:lvl>
    <w:lvl w:ilvl="8" w:tplc="A5A887D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A1"/>
    <w:rsid w:val="00000560"/>
    <w:rsid w:val="00001E5D"/>
    <w:rsid w:val="00002EAD"/>
    <w:rsid w:val="0000618D"/>
    <w:rsid w:val="000064F5"/>
    <w:rsid w:val="00006AA5"/>
    <w:rsid w:val="00010F63"/>
    <w:rsid w:val="00012CF5"/>
    <w:rsid w:val="00015A4D"/>
    <w:rsid w:val="00023AC7"/>
    <w:rsid w:val="000272A4"/>
    <w:rsid w:val="00031089"/>
    <w:rsid w:val="0003163B"/>
    <w:rsid w:val="00031F16"/>
    <w:rsid w:val="000336E3"/>
    <w:rsid w:val="000349C7"/>
    <w:rsid w:val="00036D5A"/>
    <w:rsid w:val="0003733B"/>
    <w:rsid w:val="00037A10"/>
    <w:rsid w:val="0004072E"/>
    <w:rsid w:val="00042440"/>
    <w:rsid w:val="00043FFD"/>
    <w:rsid w:val="00047F16"/>
    <w:rsid w:val="00050615"/>
    <w:rsid w:val="00053A0D"/>
    <w:rsid w:val="000549AC"/>
    <w:rsid w:val="000553E3"/>
    <w:rsid w:val="000573AB"/>
    <w:rsid w:val="00062541"/>
    <w:rsid w:val="000649B0"/>
    <w:rsid w:val="00066F6C"/>
    <w:rsid w:val="000700F8"/>
    <w:rsid w:val="00070EE5"/>
    <w:rsid w:val="000717C1"/>
    <w:rsid w:val="00071FAF"/>
    <w:rsid w:val="00073B8E"/>
    <w:rsid w:val="00076AA4"/>
    <w:rsid w:val="00085B4F"/>
    <w:rsid w:val="0008735E"/>
    <w:rsid w:val="000909BE"/>
    <w:rsid w:val="000A0115"/>
    <w:rsid w:val="000A13BC"/>
    <w:rsid w:val="000A1E16"/>
    <w:rsid w:val="000A7FA2"/>
    <w:rsid w:val="000B2E28"/>
    <w:rsid w:val="000B6252"/>
    <w:rsid w:val="000C0C52"/>
    <w:rsid w:val="000C3205"/>
    <w:rsid w:val="000C472B"/>
    <w:rsid w:val="000C5691"/>
    <w:rsid w:val="000C5C5D"/>
    <w:rsid w:val="000C5FAA"/>
    <w:rsid w:val="000C76D7"/>
    <w:rsid w:val="000D433A"/>
    <w:rsid w:val="000D4B9E"/>
    <w:rsid w:val="000D5686"/>
    <w:rsid w:val="000E00ED"/>
    <w:rsid w:val="000E0644"/>
    <w:rsid w:val="000E12F3"/>
    <w:rsid w:val="000E5A3B"/>
    <w:rsid w:val="000E6677"/>
    <w:rsid w:val="000E6948"/>
    <w:rsid w:val="000E7598"/>
    <w:rsid w:val="000F1CAD"/>
    <w:rsid w:val="000F28C3"/>
    <w:rsid w:val="000F337A"/>
    <w:rsid w:val="000F5553"/>
    <w:rsid w:val="000F5BC8"/>
    <w:rsid w:val="000F6062"/>
    <w:rsid w:val="000F7F93"/>
    <w:rsid w:val="001027E7"/>
    <w:rsid w:val="001055D6"/>
    <w:rsid w:val="001062C5"/>
    <w:rsid w:val="00110237"/>
    <w:rsid w:val="00111A62"/>
    <w:rsid w:val="00112BAE"/>
    <w:rsid w:val="00117D8A"/>
    <w:rsid w:val="0012126D"/>
    <w:rsid w:val="00121897"/>
    <w:rsid w:val="0012240D"/>
    <w:rsid w:val="0012343A"/>
    <w:rsid w:val="00131146"/>
    <w:rsid w:val="0013176B"/>
    <w:rsid w:val="00131F7A"/>
    <w:rsid w:val="001329D0"/>
    <w:rsid w:val="0013454C"/>
    <w:rsid w:val="00136908"/>
    <w:rsid w:val="00140171"/>
    <w:rsid w:val="00140599"/>
    <w:rsid w:val="00140BE6"/>
    <w:rsid w:val="00144747"/>
    <w:rsid w:val="00147AFA"/>
    <w:rsid w:val="00156BF7"/>
    <w:rsid w:val="001576EE"/>
    <w:rsid w:val="00164053"/>
    <w:rsid w:val="00164AEF"/>
    <w:rsid w:val="00166845"/>
    <w:rsid w:val="0017012F"/>
    <w:rsid w:val="00171395"/>
    <w:rsid w:val="00171AB6"/>
    <w:rsid w:val="001816E2"/>
    <w:rsid w:val="00184160"/>
    <w:rsid w:val="00184C7C"/>
    <w:rsid w:val="00190F3D"/>
    <w:rsid w:val="00194649"/>
    <w:rsid w:val="00196AD1"/>
    <w:rsid w:val="0019724C"/>
    <w:rsid w:val="00197E76"/>
    <w:rsid w:val="001A262E"/>
    <w:rsid w:val="001A5D6D"/>
    <w:rsid w:val="001A7415"/>
    <w:rsid w:val="001B4906"/>
    <w:rsid w:val="001C0904"/>
    <w:rsid w:val="001C0C53"/>
    <w:rsid w:val="001C2847"/>
    <w:rsid w:val="001C4349"/>
    <w:rsid w:val="001C6F47"/>
    <w:rsid w:val="001D11B7"/>
    <w:rsid w:val="001D2158"/>
    <w:rsid w:val="001D2B21"/>
    <w:rsid w:val="001D5086"/>
    <w:rsid w:val="001D6074"/>
    <w:rsid w:val="001D7C41"/>
    <w:rsid w:val="001E2867"/>
    <w:rsid w:val="001E4EAC"/>
    <w:rsid w:val="001E51D6"/>
    <w:rsid w:val="001E5BE0"/>
    <w:rsid w:val="001F2403"/>
    <w:rsid w:val="001F52C8"/>
    <w:rsid w:val="001F573E"/>
    <w:rsid w:val="001F65DA"/>
    <w:rsid w:val="001F7EC6"/>
    <w:rsid w:val="001F7F6C"/>
    <w:rsid w:val="00204C01"/>
    <w:rsid w:val="00205299"/>
    <w:rsid w:val="0020765A"/>
    <w:rsid w:val="00214D6A"/>
    <w:rsid w:val="002162AA"/>
    <w:rsid w:val="00220A2F"/>
    <w:rsid w:val="00220B27"/>
    <w:rsid w:val="002211BE"/>
    <w:rsid w:val="002227DE"/>
    <w:rsid w:val="00223A0E"/>
    <w:rsid w:val="00223C73"/>
    <w:rsid w:val="00224164"/>
    <w:rsid w:val="002277CA"/>
    <w:rsid w:val="00231C28"/>
    <w:rsid w:val="00233037"/>
    <w:rsid w:val="002330F8"/>
    <w:rsid w:val="002349DB"/>
    <w:rsid w:val="00236B93"/>
    <w:rsid w:val="00241A7B"/>
    <w:rsid w:val="002461D9"/>
    <w:rsid w:val="00246CB2"/>
    <w:rsid w:val="002519F1"/>
    <w:rsid w:val="00253602"/>
    <w:rsid w:val="00253DAA"/>
    <w:rsid w:val="0025565E"/>
    <w:rsid w:val="00255E71"/>
    <w:rsid w:val="00257A70"/>
    <w:rsid w:val="00266F36"/>
    <w:rsid w:val="002674AE"/>
    <w:rsid w:val="002679F4"/>
    <w:rsid w:val="00271A7F"/>
    <w:rsid w:val="00274425"/>
    <w:rsid w:val="00275357"/>
    <w:rsid w:val="0027585C"/>
    <w:rsid w:val="0027770C"/>
    <w:rsid w:val="002777E6"/>
    <w:rsid w:val="00280194"/>
    <w:rsid w:val="0028160B"/>
    <w:rsid w:val="00283415"/>
    <w:rsid w:val="00285F43"/>
    <w:rsid w:val="00286715"/>
    <w:rsid w:val="00286B31"/>
    <w:rsid w:val="0029146A"/>
    <w:rsid w:val="002920FE"/>
    <w:rsid w:val="00293533"/>
    <w:rsid w:val="002939C9"/>
    <w:rsid w:val="002A2112"/>
    <w:rsid w:val="002A2F06"/>
    <w:rsid w:val="002A4072"/>
    <w:rsid w:val="002A6434"/>
    <w:rsid w:val="002B0422"/>
    <w:rsid w:val="002B0CD7"/>
    <w:rsid w:val="002B4B4C"/>
    <w:rsid w:val="002C1148"/>
    <w:rsid w:val="002C39DC"/>
    <w:rsid w:val="002C47DB"/>
    <w:rsid w:val="002C7296"/>
    <w:rsid w:val="002D033E"/>
    <w:rsid w:val="002D322C"/>
    <w:rsid w:val="002D5518"/>
    <w:rsid w:val="002D5F56"/>
    <w:rsid w:val="002D6CDB"/>
    <w:rsid w:val="002D7D24"/>
    <w:rsid w:val="002E2E00"/>
    <w:rsid w:val="002E2F6D"/>
    <w:rsid w:val="002E51C5"/>
    <w:rsid w:val="002E7D34"/>
    <w:rsid w:val="002F2D56"/>
    <w:rsid w:val="002F6576"/>
    <w:rsid w:val="00300BED"/>
    <w:rsid w:val="00307FE7"/>
    <w:rsid w:val="0031106F"/>
    <w:rsid w:val="00315430"/>
    <w:rsid w:val="003157B7"/>
    <w:rsid w:val="003176D9"/>
    <w:rsid w:val="00317A94"/>
    <w:rsid w:val="003205B1"/>
    <w:rsid w:val="003228FF"/>
    <w:rsid w:val="00322CA8"/>
    <w:rsid w:val="003244A5"/>
    <w:rsid w:val="0032568E"/>
    <w:rsid w:val="0033205C"/>
    <w:rsid w:val="003335A3"/>
    <w:rsid w:val="00335FE5"/>
    <w:rsid w:val="00340622"/>
    <w:rsid w:val="003415BA"/>
    <w:rsid w:val="0034190E"/>
    <w:rsid w:val="00342689"/>
    <w:rsid w:val="0034299F"/>
    <w:rsid w:val="00345988"/>
    <w:rsid w:val="00346622"/>
    <w:rsid w:val="0035568A"/>
    <w:rsid w:val="003618D0"/>
    <w:rsid w:val="00363D4D"/>
    <w:rsid w:val="00373015"/>
    <w:rsid w:val="00374959"/>
    <w:rsid w:val="00376A71"/>
    <w:rsid w:val="0037762D"/>
    <w:rsid w:val="00386860"/>
    <w:rsid w:val="00387C67"/>
    <w:rsid w:val="00390DDD"/>
    <w:rsid w:val="003928E3"/>
    <w:rsid w:val="00393953"/>
    <w:rsid w:val="00393DD5"/>
    <w:rsid w:val="00395416"/>
    <w:rsid w:val="003961DC"/>
    <w:rsid w:val="003974DE"/>
    <w:rsid w:val="003A09B6"/>
    <w:rsid w:val="003A3006"/>
    <w:rsid w:val="003A50C5"/>
    <w:rsid w:val="003A6D97"/>
    <w:rsid w:val="003B0236"/>
    <w:rsid w:val="003B1D8F"/>
    <w:rsid w:val="003B6763"/>
    <w:rsid w:val="003B6E2B"/>
    <w:rsid w:val="003C0E59"/>
    <w:rsid w:val="003C10D5"/>
    <w:rsid w:val="003C2AF4"/>
    <w:rsid w:val="003C2E6A"/>
    <w:rsid w:val="003C55D3"/>
    <w:rsid w:val="003D5001"/>
    <w:rsid w:val="003D5751"/>
    <w:rsid w:val="003E0B6C"/>
    <w:rsid w:val="003E14F5"/>
    <w:rsid w:val="003E456F"/>
    <w:rsid w:val="003E461B"/>
    <w:rsid w:val="003E55F0"/>
    <w:rsid w:val="003F11F3"/>
    <w:rsid w:val="003F36B1"/>
    <w:rsid w:val="003F48A4"/>
    <w:rsid w:val="003F4C77"/>
    <w:rsid w:val="003F665D"/>
    <w:rsid w:val="00401398"/>
    <w:rsid w:val="00406C7C"/>
    <w:rsid w:val="00415554"/>
    <w:rsid w:val="004221BD"/>
    <w:rsid w:val="004237EF"/>
    <w:rsid w:val="004267B1"/>
    <w:rsid w:val="004277F5"/>
    <w:rsid w:val="004279D5"/>
    <w:rsid w:val="004315B1"/>
    <w:rsid w:val="00431A11"/>
    <w:rsid w:val="00440080"/>
    <w:rsid w:val="00441A95"/>
    <w:rsid w:val="004510C9"/>
    <w:rsid w:val="00451143"/>
    <w:rsid w:val="00456C10"/>
    <w:rsid w:val="00457830"/>
    <w:rsid w:val="00461830"/>
    <w:rsid w:val="0046185D"/>
    <w:rsid w:val="00465645"/>
    <w:rsid w:val="00471948"/>
    <w:rsid w:val="00472551"/>
    <w:rsid w:val="00474558"/>
    <w:rsid w:val="0047509F"/>
    <w:rsid w:val="004759B4"/>
    <w:rsid w:val="00476428"/>
    <w:rsid w:val="00476698"/>
    <w:rsid w:val="0048101D"/>
    <w:rsid w:val="004833BC"/>
    <w:rsid w:val="004857FA"/>
    <w:rsid w:val="00485D37"/>
    <w:rsid w:val="00490318"/>
    <w:rsid w:val="00490EFA"/>
    <w:rsid w:val="00494E27"/>
    <w:rsid w:val="0049570F"/>
    <w:rsid w:val="004A6556"/>
    <w:rsid w:val="004A6E71"/>
    <w:rsid w:val="004A75C3"/>
    <w:rsid w:val="004B0C35"/>
    <w:rsid w:val="004B4922"/>
    <w:rsid w:val="004B5E90"/>
    <w:rsid w:val="004B618D"/>
    <w:rsid w:val="004C0510"/>
    <w:rsid w:val="004C1743"/>
    <w:rsid w:val="004C3681"/>
    <w:rsid w:val="004C50B2"/>
    <w:rsid w:val="004C692A"/>
    <w:rsid w:val="004C70EF"/>
    <w:rsid w:val="004C7630"/>
    <w:rsid w:val="004C78C8"/>
    <w:rsid w:val="004D04E8"/>
    <w:rsid w:val="004D1309"/>
    <w:rsid w:val="004E2EBD"/>
    <w:rsid w:val="004E37F2"/>
    <w:rsid w:val="004E40D2"/>
    <w:rsid w:val="004E635F"/>
    <w:rsid w:val="004F3CAD"/>
    <w:rsid w:val="004F589C"/>
    <w:rsid w:val="004F72A9"/>
    <w:rsid w:val="004F7988"/>
    <w:rsid w:val="00502265"/>
    <w:rsid w:val="005035FD"/>
    <w:rsid w:val="005051BF"/>
    <w:rsid w:val="00507FA3"/>
    <w:rsid w:val="00510275"/>
    <w:rsid w:val="00511B78"/>
    <w:rsid w:val="005125F7"/>
    <w:rsid w:val="00512ABF"/>
    <w:rsid w:val="005138BE"/>
    <w:rsid w:val="005139B8"/>
    <w:rsid w:val="00517E37"/>
    <w:rsid w:val="005221C8"/>
    <w:rsid w:val="00522BA7"/>
    <w:rsid w:val="00524D61"/>
    <w:rsid w:val="00525234"/>
    <w:rsid w:val="00527F62"/>
    <w:rsid w:val="00534F90"/>
    <w:rsid w:val="00536B3A"/>
    <w:rsid w:val="0054011C"/>
    <w:rsid w:val="00543989"/>
    <w:rsid w:val="00543C48"/>
    <w:rsid w:val="00544560"/>
    <w:rsid w:val="00544A3D"/>
    <w:rsid w:val="00546AAE"/>
    <w:rsid w:val="005475BE"/>
    <w:rsid w:val="00551329"/>
    <w:rsid w:val="00554B1D"/>
    <w:rsid w:val="00554DEA"/>
    <w:rsid w:val="00555922"/>
    <w:rsid w:val="0055707E"/>
    <w:rsid w:val="005577E5"/>
    <w:rsid w:val="00560DD5"/>
    <w:rsid w:val="00561743"/>
    <w:rsid w:val="0056476C"/>
    <w:rsid w:val="00564956"/>
    <w:rsid w:val="00567FE7"/>
    <w:rsid w:val="00570F14"/>
    <w:rsid w:val="0057237F"/>
    <w:rsid w:val="005747BB"/>
    <w:rsid w:val="00575C1D"/>
    <w:rsid w:val="00576225"/>
    <w:rsid w:val="00576842"/>
    <w:rsid w:val="00580015"/>
    <w:rsid w:val="00580983"/>
    <w:rsid w:val="00580EB4"/>
    <w:rsid w:val="00590F06"/>
    <w:rsid w:val="005929EA"/>
    <w:rsid w:val="00594A50"/>
    <w:rsid w:val="0059654F"/>
    <w:rsid w:val="00596F8E"/>
    <w:rsid w:val="005A0172"/>
    <w:rsid w:val="005A4246"/>
    <w:rsid w:val="005A60D7"/>
    <w:rsid w:val="005A7E76"/>
    <w:rsid w:val="005B1D10"/>
    <w:rsid w:val="005B2E8C"/>
    <w:rsid w:val="005B4A58"/>
    <w:rsid w:val="005B5B11"/>
    <w:rsid w:val="005C5ECE"/>
    <w:rsid w:val="005C6DA2"/>
    <w:rsid w:val="005D3BE1"/>
    <w:rsid w:val="005D3FF5"/>
    <w:rsid w:val="005D41FE"/>
    <w:rsid w:val="005D4B0F"/>
    <w:rsid w:val="005D5487"/>
    <w:rsid w:val="005D68C2"/>
    <w:rsid w:val="005D6D9B"/>
    <w:rsid w:val="005D6E51"/>
    <w:rsid w:val="005D7DBD"/>
    <w:rsid w:val="005E0D1D"/>
    <w:rsid w:val="005E545E"/>
    <w:rsid w:val="005F0220"/>
    <w:rsid w:val="005F205A"/>
    <w:rsid w:val="005F487C"/>
    <w:rsid w:val="005F57D8"/>
    <w:rsid w:val="005F58B8"/>
    <w:rsid w:val="005F6A78"/>
    <w:rsid w:val="005F6E06"/>
    <w:rsid w:val="006004A5"/>
    <w:rsid w:val="00600A2D"/>
    <w:rsid w:val="00604EEB"/>
    <w:rsid w:val="00605A7F"/>
    <w:rsid w:val="0060699A"/>
    <w:rsid w:val="00606ED5"/>
    <w:rsid w:val="0061207C"/>
    <w:rsid w:val="0061287E"/>
    <w:rsid w:val="006170AA"/>
    <w:rsid w:val="00617A8E"/>
    <w:rsid w:val="00617B9E"/>
    <w:rsid w:val="00623E12"/>
    <w:rsid w:val="0062468F"/>
    <w:rsid w:val="00624A0F"/>
    <w:rsid w:val="00630986"/>
    <w:rsid w:val="006310D5"/>
    <w:rsid w:val="006376D9"/>
    <w:rsid w:val="006424EB"/>
    <w:rsid w:val="0064365B"/>
    <w:rsid w:val="00643B75"/>
    <w:rsid w:val="00643F17"/>
    <w:rsid w:val="00650304"/>
    <w:rsid w:val="006514E2"/>
    <w:rsid w:val="006524B0"/>
    <w:rsid w:val="00663002"/>
    <w:rsid w:val="006641D1"/>
    <w:rsid w:val="00664224"/>
    <w:rsid w:val="00665534"/>
    <w:rsid w:val="006802CA"/>
    <w:rsid w:val="00683A14"/>
    <w:rsid w:val="0068434C"/>
    <w:rsid w:val="0068570D"/>
    <w:rsid w:val="00686F45"/>
    <w:rsid w:val="00694C8C"/>
    <w:rsid w:val="00695461"/>
    <w:rsid w:val="0069659F"/>
    <w:rsid w:val="0069774A"/>
    <w:rsid w:val="006A0711"/>
    <w:rsid w:val="006A270D"/>
    <w:rsid w:val="006A3011"/>
    <w:rsid w:val="006A4C47"/>
    <w:rsid w:val="006A6D7C"/>
    <w:rsid w:val="006B16EE"/>
    <w:rsid w:val="006C0518"/>
    <w:rsid w:val="006C1415"/>
    <w:rsid w:val="006C2824"/>
    <w:rsid w:val="006C5EA6"/>
    <w:rsid w:val="006D3164"/>
    <w:rsid w:val="006D46B1"/>
    <w:rsid w:val="006E1AD6"/>
    <w:rsid w:val="006E1BED"/>
    <w:rsid w:val="006E3D59"/>
    <w:rsid w:val="006E4100"/>
    <w:rsid w:val="006E575C"/>
    <w:rsid w:val="006E6C8F"/>
    <w:rsid w:val="006E72B8"/>
    <w:rsid w:val="006E7830"/>
    <w:rsid w:val="006F0CA4"/>
    <w:rsid w:val="006F1419"/>
    <w:rsid w:val="006F14E6"/>
    <w:rsid w:val="006F257F"/>
    <w:rsid w:val="006F4126"/>
    <w:rsid w:val="006F45CE"/>
    <w:rsid w:val="006F63B1"/>
    <w:rsid w:val="006F679E"/>
    <w:rsid w:val="007039F8"/>
    <w:rsid w:val="007070CC"/>
    <w:rsid w:val="00711B89"/>
    <w:rsid w:val="007174BE"/>
    <w:rsid w:val="00722917"/>
    <w:rsid w:val="00722C00"/>
    <w:rsid w:val="0072431F"/>
    <w:rsid w:val="007245F5"/>
    <w:rsid w:val="007261C2"/>
    <w:rsid w:val="0072798A"/>
    <w:rsid w:val="00731A6E"/>
    <w:rsid w:val="00731C9A"/>
    <w:rsid w:val="00732109"/>
    <w:rsid w:val="0073245C"/>
    <w:rsid w:val="00734D30"/>
    <w:rsid w:val="007350E7"/>
    <w:rsid w:val="00735CA1"/>
    <w:rsid w:val="00741541"/>
    <w:rsid w:val="007421E6"/>
    <w:rsid w:val="00742E92"/>
    <w:rsid w:val="00745BC4"/>
    <w:rsid w:val="00747DBE"/>
    <w:rsid w:val="007500A9"/>
    <w:rsid w:val="00752C46"/>
    <w:rsid w:val="00757462"/>
    <w:rsid w:val="007575D3"/>
    <w:rsid w:val="00757B92"/>
    <w:rsid w:val="007610A7"/>
    <w:rsid w:val="00761ADF"/>
    <w:rsid w:val="007651E1"/>
    <w:rsid w:val="0076687C"/>
    <w:rsid w:val="00766EF8"/>
    <w:rsid w:val="00772923"/>
    <w:rsid w:val="00774578"/>
    <w:rsid w:val="007756F6"/>
    <w:rsid w:val="007758E5"/>
    <w:rsid w:val="00776173"/>
    <w:rsid w:val="007815EE"/>
    <w:rsid w:val="00790164"/>
    <w:rsid w:val="00791370"/>
    <w:rsid w:val="0079137E"/>
    <w:rsid w:val="00796B8F"/>
    <w:rsid w:val="007B0251"/>
    <w:rsid w:val="007B5FF5"/>
    <w:rsid w:val="007B61EA"/>
    <w:rsid w:val="007B6883"/>
    <w:rsid w:val="007B794A"/>
    <w:rsid w:val="007C0917"/>
    <w:rsid w:val="007C2E6F"/>
    <w:rsid w:val="007C42FB"/>
    <w:rsid w:val="007C47CC"/>
    <w:rsid w:val="007D01BF"/>
    <w:rsid w:val="007D16EF"/>
    <w:rsid w:val="007D1971"/>
    <w:rsid w:val="007D38D2"/>
    <w:rsid w:val="007D4701"/>
    <w:rsid w:val="007D67CE"/>
    <w:rsid w:val="007D7CA7"/>
    <w:rsid w:val="007D7E56"/>
    <w:rsid w:val="007E4E61"/>
    <w:rsid w:val="007E549C"/>
    <w:rsid w:val="007E5C2C"/>
    <w:rsid w:val="007F1D01"/>
    <w:rsid w:val="007F3F51"/>
    <w:rsid w:val="007F68B8"/>
    <w:rsid w:val="007F777C"/>
    <w:rsid w:val="00800ED5"/>
    <w:rsid w:val="00802008"/>
    <w:rsid w:val="008109C0"/>
    <w:rsid w:val="00811FAD"/>
    <w:rsid w:val="008158B0"/>
    <w:rsid w:val="00815CC8"/>
    <w:rsid w:val="0082033F"/>
    <w:rsid w:val="0082058E"/>
    <w:rsid w:val="00823867"/>
    <w:rsid w:val="0082414C"/>
    <w:rsid w:val="008308C2"/>
    <w:rsid w:val="00830A96"/>
    <w:rsid w:val="00831A8F"/>
    <w:rsid w:val="008323ED"/>
    <w:rsid w:val="0083296D"/>
    <w:rsid w:val="00832FD9"/>
    <w:rsid w:val="00834387"/>
    <w:rsid w:val="00836A24"/>
    <w:rsid w:val="00840702"/>
    <w:rsid w:val="00845049"/>
    <w:rsid w:val="0084531A"/>
    <w:rsid w:val="008454F4"/>
    <w:rsid w:val="008466AE"/>
    <w:rsid w:val="008515A0"/>
    <w:rsid w:val="008516A8"/>
    <w:rsid w:val="008516B3"/>
    <w:rsid w:val="00851B21"/>
    <w:rsid w:val="0085303A"/>
    <w:rsid w:val="00855102"/>
    <w:rsid w:val="008613CD"/>
    <w:rsid w:val="008614A3"/>
    <w:rsid w:val="008620C6"/>
    <w:rsid w:val="00863749"/>
    <w:rsid w:val="008649D3"/>
    <w:rsid w:val="00871D37"/>
    <w:rsid w:val="00873D0B"/>
    <w:rsid w:val="00880CD2"/>
    <w:rsid w:val="00881EE5"/>
    <w:rsid w:val="0088459D"/>
    <w:rsid w:val="0088712B"/>
    <w:rsid w:val="00887BEA"/>
    <w:rsid w:val="0089075B"/>
    <w:rsid w:val="00890C1A"/>
    <w:rsid w:val="0089239F"/>
    <w:rsid w:val="008A6D3A"/>
    <w:rsid w:val="008A7BB8"/>
    <w:rsid w:val="008B027B"/>
    <w:rsid w:val="008B751F"/>
    <w:rsid w:val="008C08CA"/>
    <w:rsid w:val="008C0D1E"/>
    <w:rsid w:val="008C2E60"/>
    <w:rsid w:val="008C4CA1"/>
    <w:rsid w:val="008C5C02"/>
    <w:rsid w:val="008C6CDD"/>
    <w:rsid w:val="008D1673"/>
    <w:rsid w:val="008D1F2E"/>
    <w:rsid w:val="008D2BA4"/>
    <w:rsid w:val="008D3983"/>
    <w:rsid w:val="008D55BF"/>
    <w:rsid w:val="008D5C5D"/>
    <w:rsid w:val="008E0E36"/>
    <w:rsid w:val="008E27CA"/>
    <w:rsid w:val="008E5AFE"/>
    <w:rsid w:val="008E63FF"/>
    <w:rsid w:val="008E6D68"/>
    <w:rsid w:val="008F0C11"/>
    <w:rsid w:val="008F4E55"/>
    <w:rsid w:val="008F526B"/>
    <w:rsid w:val="008F7EF0"/>
    <w:rsid w:val="0090230F"/>
    <w:rsid w:val="00904D78"/>
    <w:rsid w:val="00912401"/>
    <w:rsid w:val="00914498"/>
    <w:rsid w:val="00915496"/>
    <w:rsid w:val="0091571E"/>
    <w:rsid w:val="009157EE"/>
    <w:rsid w:val="00916264"/>
    <w:rsid w:val="00916A01"/>
    <w:rsid w:val="00916FD2"/>
    <w:rsid w:val="00920D73"/>
    <w:rsid w:val="00920D7D"/>
    <w:rsid w:val="00921C78"/>
    <w:rsid w:val="009238F7"/>
    <w:rsid w:val="00924449"/>
    <w:rsid w:val="00924EC3"/>
    <w:rsid w:val="0093157B"/>
    <w:rsid w:val="00951F2E"/>
    <w:rsid w:val="00953643"/>
    <w:rsid w:val="00953BF6"/>
    <w:rsid w:val="009645B8"/>
    <w:rsid w:val="0096636D"/>
    <w:rsid w:val="009716D1"/>
    <w:rsid w:val="0097233B"/>
    <w:rsid w:val="00973AC5"/>
    <w:rsid w:val="009769FF"/>
    <w:rsid w:val="009800B9"/>
    <w:rsid w:val="0098185D"/>
    <w:rsid w:val="00982A69"/>
    <w:rsid w:val="009859C9"/>
    <w:rsid w:val="009863DB"/>
    <w:rsid w:val="0098705A"/>
    <w:rsid w:val="0099268A"/>
    <w:rsid w:val="00992A1F"/>
    <w:rsid w:val="00993C06"/>
    <w:rsid w:val="009946E8"/>
    <w:rsid w:val="009A1105"/>
    <w:rsid w:val="009A1B34"/>
    <w:rsid w:val="009A317D"/>
    <w:rsid w:val="009A633F"/>
    <w:rsid w:val="009B43CB"/>
    <w:rsid w:val="009B4503"/>
    <w:rsid w:val="009B63B3"/>
    <w:rsid w:val="009C343D"/>
    <w:rsid w:val="009C4956"/>
    <w:rsid w:val="009C6711"/>
    <w:rsid w:val="009D2273"/>
    <w:rsid w:val="009D3F84"/>
    <w:rsid w:val="009D5A6B"/>
    <w:rsid w:val="009E033F"/>
    <w:rsid w:val="009E0D20"/>
    <w:rsid w:val="009E3F3F"/>
    <w:rsid w:val="009E52F8"/>
    <w:rsid w:val="009E68DA"/>
    <w:rsid w:val="009F2C18"/>
    <w:rsid w:val="009F2E9B"/>
    <w:rsid w:val="009F4D88"/>
    <w:rsid w:val="009F59B2"/>
    <w:rsid w:val="009F68F8"/>
    <w:rsid w:val="009F716B"/>
    <w:rsid w:val="00A0118E"/>
    <w:rsid w:val="00A0243A"/>
    <w:rsid w:val="00A0604D"/>
    <w:rsid w:val="00A121E1"/>
    <w:rsid w:val="00A12554"/>
    <w:rsid w:val="00A13219"/>
    <w:rsid w:val="00A17F53"/>
    <w:rsid w:val="00A20D2F"/>
    <w:rsid w:val="00A218B3"/>
    <w:rsid w:val="00A24885"/>
    <w:rsid w:val="00A344CE"/>
    <w:rsid w:val="00A3501C"/>
    <w:rsid w:val="00A419AB"/>
    <w:rsid w:val="00A4213B"/>
    <w:rsid w:val="00A43113"/>
    <w:rsid w:val="00A46199"/>
    <w:rsid w:val="00A5448B"/>
    <w:rsid w:val="00A549D5"/>
    <w:rsid w:val="00A55DA4"/>
    <w:rsid w:val="00A620A2"/>
    <w:rsid w:val="00A643B8"/>
    <w:rsid w:val="00A644D6"/>
    <w:rsid w:val="00A64924"/>
    <w:rsid w:val="00A679A6"/>
    <w:rsid w:val="00A71A7F"/>
    <w:rsid w:val="00A71E54"/>
    <w:rsid w:val="00A7300A"/>
    <w:rsid w:val="00A73192"/>
    <w:rsid w:val="00A74098"/>
    <w:rsid w:val="00A75558"/>
    <w:rsid w:val="00A76A78"/>
    <w:rsid w:val="00A76C36"/>
    <w:rsid w:val="00A77D29"/>
    <w:rsid w:val="00A86F4B"/>
    <w:rsid w:val="00A9108C"/>
    <w:rsid w:val="00AA120F"/>
    <w:rsid w:val="00AA2DF4"/>
    <w:rsid w:val="00AA7903"/>
    <w:rsid w:val="00AB1F6A"/>
    <w:rsid w:val="00AB271D"/>
    <w:rsid w:val="00AB4662"/>
    <w:rsid w:val="00AB7700"/>
    <w:rsid w:val="00AC0236"/>
    <w:rsid w:val="00AC4667"/>
    <w:rsid w:val="00AC70D8"/>
    <w:rsid w:val="00AD5CEE"/>
    <w:rsid w:val="00AD6DAC"/>
    <w:rsid w:val="00AD6DF0"/>
    <w:rsid w:val="00AD721B"/>
    <w:rsid w:val="00AE072F"/>
    <w:rsid w:val="00AE2DAC"/>
    <w:rsid w:val="00AE313D"/>
    <w:rsid w:val="00AF0BC1"/>
    <w:rsid w:val="00AF15FC"/>
    <w:rsid w:val="00AF3F7D"/>
    <w:rsid w:val="00AF6405"/>
    <w:rsid w:val="00B011DA"/>
    <w:rsid w:val="00B032D0"/>
    <w:rsid w:val="00B0461D"/>
    <w:rsid w:val="00B049DE"/>
    <w:rsid w:val="00B04AE3"/>
    <w:rsid w:val="00B10582"/>
    <w:rsid w:val="00B124BD"/>
    <w:rsid w:val="00B201CA"/>
    <w:rsid w:val="00B23739"/>
    <w:rsid w:val="00B23852"/>
    <w:rsid w:val="00B251DD"/>
    <w:rsid w:val="00B31A36"/>
    <w:rsid w:val="00B32F90"/>
    <w:rsid w:val="00B4327B"/>
    <w:rsid w:val="00B43AE6"/>
    <w:rsid w:val="00B45182"/>
    <w:rsid w:val="00B45961"/>
    <w:rsid w:val="00B45B82"/>
    <w:rsid w:val="00B52663"/>
    <w:rsid w:val="00B529B9"/>
    <w:rsid w:val="00B52A4B"/>
    <w:rsid w:val="00B52BC5"/>
    <w:rsid w:val="00B547F4"/>
    <w:rsid w:val="00B5493D"/>
    <w:rsid w:val="00B5630D"/>
    <w:rsid w:val="00B603A4"/>
    <w:rsid w:val="00B60C14"/>
    <w:rsid w:val="00B627DD"/>
    <w:rsid w:val="00B6470F"/>
    <w:rsid w:val="00B65A2F"/>
    <w:rsid w:val="00B66922"/>
    <w:rsid w:val="00B7113E"/>
    <w:rsid w:val="00B7260A"/>
    <w:rsid w:val="00B7260D"/>
    <w:rsid w:val="00B7397D"/>
    <w:rsid w:val="00B77938"/>
    <w:rsid w:val="00B77EE4"/>
    <w:rsid w:val="00B80DA4"/>
    <w:rsid w:val="00B830C9"/>
    <w:rsid w:val="00B83F17"/>
    <w:rsid w:val="00B85892"/>
    <w:rsid w:val="00B85B0A"/>
    <w:rsid w:val="00B86E56"/>
    <w:rsid w:val="00B91437"/>
    <w:rsid w:val="00B927BA"/>
    <w:rsid w:val="00BA501C"/>
    <w:rsid w:val="00BA6591"/>
    <w:rsid w:val="00BA6C72"/>
    <w:rsid w:val="00BA782A"/>
    <w:rsid w:val="00BA7C46"/>
    <w:rsid w:val="00BA7F72"/>
    <w:rsid w:val="00BB32E0"/>
    <w:rsid w:val="00BB61D3"/>
    <w:rsid w:val="00BC1BE3"/>
    <w:rsid w:val="00BC5289"/>
    <w:rsid w:val="00BD271C"/>
    <w:rsid w:val="00BD4B30"/>
    <w:rsid w:val="00BD4F9C"/>
    <w:rsid w:val="00BD6262"/>
    <w:rsid w:val="00BD636D"/>
    <w:rsid w:val="00BE4E5A"/>
    <w:rsid w:val="00BE5D2A"/>
    <w:rsid w:val="00BE68CC"/>
    <w:rsid w:val="00BE7418"/>
    <w:rsid w:val="00BE7C1A"/>
    <w:rsid w:val="00BF2810"/>
    <w:rsid w:val="00BF3817"/>
    <w:rsid w:val="00BF4A21"/>
    <w:rsid w:val="00BF4BB4"/>
    <w:rsid w:val="00BF5363"/>
    <w:rsid w:val="00BF5DEC"/>
    <w:rsid w:val="00BF6E23"/>
    <w:rsid w:val="00BF760A"/>
    <w:rsid w:val="00BF7C88"/>
    <w:rsid w:val="00BF7F95"/>
    <w:rsid w:val="00C0297B"/>
    <w:rsid w:val="00C02C9C"/>
    <w:rsid w:val="00C06C51"/>
    <w:rsid w:val="00C06F71"/>
    <w:rsid w:val="00C07763"/>
    <w:rsid w:val="00C107FE"/>
    <w:rsid w:val="00C1351F"/>
    <w:rsid w:val="00C16668"/>
    <w:rsid w:val="00C22912"/>
    <w:rsid w:val="00C23830"/>
    <w:rsid w:val="00C248C8"/>
    <w:rsid w:val="00C31E7D"/>
    <w:rsid w:val="00C32F6A"/>
    <w:rsid w:val="00C33046"/>
    <w:rsid w:val="00C346AB"/>
    <w:rsid w:val="00C35BE2"/>
    <w:rsid w:val="00C367EE"/>
    <w:rsid w:val="00C4497D"/>
    <w:rsid w:val="00C4632F"/>
    <w:rsid w:val="00C47104"/>
    <w:rsid w:val="00C51788"/>
    <w:rsid w:val="00C52C52"/>
    <w:rsid w:val="00C52D02"/>
    <w:rsid w:val="00C52DE3"/>
    <w:rsid w:val="00C5794F"/>
    <w:rsid w:val="00C638C4"/>
    <w:rsid w:val="00C63C18"/>
    <w:rsid w:val="00C649B0"/>
    <w:rsid w:val="00C65DC7"/>
    <w:rsid w:val="00C67A58"/>
    <w:rsid w:val="00C67AB0"/>
    <w:rsid w:val="00C74415"/>
    <w:rsid w:val="00C85A29"/>
    <w:rsid w:val="00C85D4A"/>
    <w:rsid w:val="00C87DB5"/>
    <w:rsid w:val="00C91878"/>
    <w:rsid w:val="00C93C3C"/>
    <w:rsid w:val="00CA0A5F"/>
    <w:rsid w:val="00CA3950"/>
    <w:rsid w:val="00CA4D30"/>
    <w:rsid w:val="00CA5BF9"/>
    <w:rsid w:val="00CB091C"/>
    <w:rsid w:val="00CB0FBD"/>
    <w:rsid w:val="00CB460B"/>
    <w:rsid w:val="00CC2753"/>
    <w:rsid w:val="00CC3BDC"/>
    <w:rsid w:val="00CC3EFE"/>
    <w:rsid w:val="00CC4B49"/>
    <w:rsid w:val="00CC63D6"/>
    <w:rsid w:val="00CD4267"/>
    <w:rsid w:val="00CD440A"/>
    <w:rsid w:val="00CE089B"/>
    <w:rsid w:val="00CE21E2"/>
    <w:rsid w:val="00CE29C8"/>
    <w:rsid w:val="00CF2AEF"/>
    <w:rsid w:val="00D0064B"/>
    <w:rsid w:val="00D01EF3"/>
    <w:rsid w:val="00D03A2D"/>
    <w:rsid w:val="00D06119"/>
    <w:rsid w:val="00D130E6"/>
    <w:rsid w:val="00D17496"/>
    <w:rsid w:val="00D23002"/>
    <w:rsid w:val="00D26518"/>
    <w:rsid w:val="00D27690"/>
    <w:rsid w:val="00D30D7E"/>
    <w:rsid w:val="00D31697"/>
    <w:rsid w:val="00D3213A"/>
    <w:rsid w:val="00D3775D"/>
    <w:rsid w:val="00D37C0B"/>
    <w:rsid w:val="00D44C9B"/>
    <w:rsid w:val="00D46AFE"/>
    <w:rsid w:val="00D50D3C"/>
    <w:rsid w:val="00D531EC"/>
    <w:rsid w:val="00D53394"/>
    <w:rsid w:val="00D54172"/>
    <w:rsid w:val="00D542A0"/>
    <w:rsid w:val="00D60B9F"/>
    <w:rsid w:val="00D63AFF"/>
    <w:rsid w:val="00D75BF4"/>
    <w:rsid w:val="00D75FA2"/>
    <w:rsid w:val="00D773BD"/>
    <w:rsid w:val="00D774D4"/>
    <w:rsid w:val="00D85BB8"/>
    <w:rsid w:val="00D92DE1"/>
    <w:rsid w:val="00D96433"/>
    <w:rsid w:val="00D97C71"/>
    <w:rsid w:val="00DA05A5"/>
    <w:rsid w:val="00DA77AB"/>
    <w:rsid w:val="00DB1643"/>
    <w:rsid w:val="00DB192C"/>
    <w:rsid w:val="00DB3905"/>
    <w:rsid w:val="00DB43D8"/>
    <w:rsid w:val="00DB5AA3"/>
    <w:rsid w:val="00DB6B86"/>
    <w:rsid w:val="00DB6C52"/>
    <w:rsid w:val="00DB6DFE"/>
    <w:rsid w:val="00DB7CB8"/>
    <w:rsid w:val="00DC5E2E"/>
    <w:rsid w:val="00DC78A1"/>
    <w:rsid w:val="00DC7B03"/>
    <w:rsid w:val="00DE040A"/>
    <w:rsid w:val="00DE23E5"/>
    <w:rsid w:val="00DE3F05"/>
    <w:rsid w:val="00DF2D71"/>
    <w:rsid w:val="00DF3A44"/>
    <w:rsid w:val="00DF4FE8"/>
    <w:rsid w:val="00E00C69"/>
    <w:rsid w:val="00E02224"/>
    <w:rsid w:val="00E02910"/>
    <w:rsid w:val="00E02CEF"/>
    <w:rsid w:val="00E11C04"/>
    <w:rsid w:val="00E13C0E"/>
    <w:rsid w:val="00E1637E"/>
    <w:rsid w:val="00E16F05"/>
    <w:rsid w:val="00E16FD4"/>
    <w:rsid w:val="00E1797B"/>
    <w:rsid w:val="00E20B5B"/>
    <w:rsid w:val="00E23C64"/>
    <w:rsid w:val="00E243AE"/>
    <w:rsid w:val="00E253DC"/>
    <w:rsid w:val="00E308CD"/>
    <w:rsid w:val="00E35D62"/>
    <w:rsid w:val="00E372E5"/>
    <w:rsid w:val="00E37877"/>
    <w:rsid w:val="00E3794D"/>
    <w:rsid w:val="00E40620"/>
    <w:rsid w:val="00E411FF"/>
    <w:rsid w:val="00E414DE"/>
    <w:rsid w:val="00E42639"/>
    <w:rsid w:val="00E46A5E"/>
    <w:rsid w:val="00E46C33"/>
    <w:rsid w:val="00E46D52"/>
    <w:rsid w:val="00E53399"/>
    <w:rsid w:val="00E620F1"/>
    <w:rsid w:val="00E6281D"/>
    <w:rsid w:val="00E62CB5"/>
    <w:rsid w:val="00E6478E"/>
    <w:rsid w:val="00E66AA8"/>
    <w:rsid w:val="00E66F38"/>
    <w:rsid w:val="00E702D2"/>
    <w:rsid w:val="00E70F41"/>
    <w:rsid w:val="00E81504"/>
    <w:rsid w:val="00E8727F"/>
    <w:rsid w:val="00E907F1"/>
    <w:rsid w:val="00E90E00"/>
    <w:rsid w:val="00E94516"/>
    <w:rsid w:val="00E95AA0"/>
    <w:rsid w:val="00E972C5"/>
    <w:rsid w:val="00E97914"/>
    <w:rsid w:val="00E979EE"/>
    <w:rsid w:val="00EA0113"/>
    <w:rsid w:val="00EA2463"/>
    <w:rsid w:val="00EA343C"/>
    <w:rsid w:val="00EA364D"/>
    <w:rsid w:val="00EA3981"/>
    <w:rsid w:val="00EA55D3"/>
    <w:rsid w:val="00EA614C"/>
    <w:rsid w:val="00EA6E52"/>
    <w:rsid w:val="00EA7BC7"/>
    <w:rsid w:val="00EB1F27"/>
    <w:rsid w:val="00EB298C"/>
    <w:rsid w:val="00EB6029"/>
    <w:rsid w:val="00EB614C"/>
    <w:rsid w:val="00EB68D2"/>
    <w:rsid w:val="00ED3F19"/>
    <w:rsid w:val="00ED5CE8"/>
    <w:rsid w:val="00ED69EF"/>
    <w:rsid w:val="00ED76DC"/>
    <w:rsid w:val="00EE14FF"/>
    <w:rsid w:val="00EE2889"/>
    <w:rsid w:val="00EE28AB"/>
    <w:rsid w:val="00EE4194"/>
    <w:rsid w:val="00EF31F2"/>
    <w:rsid w:val="00EF47D1"/>
    <w:rsid w:val="00F004C9"/>
    <w:rsid w:val="00F015B7"/>
    <w:rsid w:val="00F02A33"/>
    <w:rsid w:val="00F05714"/>
    <w:rsid w:val="00F14D8D"/>
    <w:rsid w:val="00F164D9"/>
    <w:rsid w:val="00F21C9E"/>
    <w:rsid w:val="00F22470"/>
    <w:rsid w:val="00F22B9C"/>
    <w:rsid w:val="00F22FDA"/>
    <w:rsid w:val="00F25186"/>
    <w:rsid w:val="00F27C27"/>
    <w:rsid w:val="00F311CF"/>
    <w:rsid w:val="00F32800"/>
    <w:rsid w:val="00F33F4F"/>
    <w:rsid w:val="00F36527"/>
    <w:rsid w:val="00F40286"/>
    <w:rsid w:val="00F42258"/>
    <w:rsid w:val="00F42749"/>
    <w:rsid w:val="00F4326B"/>
    <w:rsid w:val="00F44BF5"/>
    <w:rsid w:val="00F4670D"/>
    <w:rsid w:val="00F46821"/>
    <w:rsid w:val="00F52C3D"/>
    <w:rsid w:val="00F576E1"/>
    <w:rsid w:val="00F61CF3"/>
    <w:rsid w:val="00F6267F"/>
    <w:rsid w:val="00F63DF4"/>
    <w:rsid w:val="00F65073"/>
    <w:rsid w:val="00F66381"/>
    <w:rsid w:val="00F667E5"/>
    <w:rsid w:val="00F66ABF"/>
    <w:rsid w:val="00F66D3F"/>
    <w:rsid w:val="00F7233E"/>
    <w:rsid w:val="00F76356"/>
    <w:rsid w:val="00F8163C"/>
    <w:rsid w:val="00F839CA"/>
    <w:rsid w:val="00F83F4F"/>
    <w:rsid w:val="00F85737"/>
    <w:rsid w:val="00F9094B"/>
    <w:rsid w:val="00F93297"/>
    <w:rsid w:val="00F9642C"/>
    <w:rsid w:val="00F96DD3"/>
    <w:rsid w:val="00F9740A"/>
    <w:rsid w:val="00FA1550"/>
    <w:rsid w:val="00FA2B58"/>
    <w:rsid w:val="00FA59AD"/>
    <w:rsid w:val="00FB2091"/>
    <w:rsid w:val="00FB2DFC"/>
    <w:rsid w:val="00FB4479"/>
    <w:rsid w:val="00FB4734"/>
    <w:rsid w:val="00FB74AC"/>
    <w:rsid w:val="00FB7E16"/>
    <w:rsid w:val="00FC2D5A"/>
    <w:rsid w:val="00FC2F5D"/>
    <w:rsid w:val="00FC5A49"/>
    <w:rsid w:val="00FC5B03"/>
    <w:rsid w:val="00FC6DA9"/>
    <w:rsid w:val="00FD00F3"/>
    <w:rsid w:val="00FE0FA9"/>
    <w:rsid w:val="00FE33EB"/>
    <w:rsid w:val="00FE3F6F"/>
    <w:rsid w:val="00FE5F65"/>
    <w:rsid w:val="00FE60B8"/>
    <w:rsid w:val="00FE60FB"/>
    <w:rsid w:val="00FE69CD"/>
    <w:rsid w:val="00FF1086"/>
    <w:rsid w:val="00FF2069"/>
    <w:rsid w:val="00FF2A97"/>
    <w:rsid w:val="00FF304E"/>
    <w:rsid w:val="00FF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6D22F"/>
  <w15:chartTrackingRefBased/>
  <w15:docId w15:val="{C82B3910-5B06-4D97-B824-5FB6E884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22"/>
    <w:pPr>
      <w:bidi/>
    </w:pPr>
    <w:rPr>
      <w:sz w:val="24"/>
      <w:szCs w:val="24"/>
      <w:lang w:eastAsia="ar-SA"/>
    </w:rPr>
  </w:style>
  <w:style w:type="paragraph" w:styleId="Heading1">
    <w:name w:val="heading 1"/>
    <w:basedOn w:val="Normal"/>
    <w:next w:val="Normal"/>
    <w:link w:val="Heading1Char"/>
    <w:qFormat/>
    <w:rsid w:val="002B0422"/>
    <w:pPr>
      <w:keepNext/>
      <w:jc w:val="center"/>
      <w:outlineLvl w:val="0"/>
    </w:pPr>
    <w:rPr>
      <w:b/>
      <w:bCs/>
      <w:sz w:val="40"/>
      <w:szCs w:val="40"/>
      <w:lang w:val="x-none"/>
    </w:rPr>
  </w:style>
  <w:style w:type="paragraph" w:styleId="Heading2">
    <w:name w:val="heading 2"/>
    <w:basedOn w:val="Normal"/>
    <w:next w:val="Normal"/>
    <w:qFormat/>
    <w:rsid w:val="002B0422"/>
    <w:pPr>
      <w:keepNext/>
      <w:ind w:firstLine="30"/>
      <w:outlineLvl w:val="1"/>
    </w:pPr>
    <w:rPr>
      <w:rFonts w:cs="Simplified Arabic"/>
      <w:b/>
      <w:bCs/>
    </w:rPr>
  </w:style>
  <w:style w:type="paragraph" w:styleId="Heading3">
    <w:name w:val="heading 3"/>
    <w:basedOn w:val="Normal"/>
    <w:next w:val="Normal"/>
    <w:link w:val="Heading3Char"/>
    <w:qFormat/>
    <w:rsid w:val="002B0422"/>
    <w:pPr>
      <w:keepNext/>
      <w:outlineLvl w:val="2"/>
    </w:pPr>
    <w:rPr>
      <w:b/>
      <w:bCs/>
      <w:lang w:val="x-none"/>
    </w:rPr>
  </w:style>
  <w:style w:type="paragraph" w:styleId="Heading4">
    <w:name w:val="heading 4"/>
    <w:basedOn w:val="Normal"/>
    <w:next w:val="Normal"/>
    <w:link w:val="Heading4Char"/>
    <w:qFormat/>
    <w:rsid w:val="002B0422"/>
    <w:pPr>
      <w:keepNext/>
      <w:jc w:val="lowKashida"/>
      <w:outlineLvl w:val="3"/>
    </w:pPr>
    <w:rPr>
      <w:b/>
      <w:bCs/>
      <w:lang w:val="x-none"/>
    </w:rPr>
  </w:style>
  <w:style w:type="paragraph" w:styleId="Heading5">
    <w:name w:val="heading 5"/>
    <w:basedOn w:val="Normal"/>
    <w:next w:val="Normal"/>
    <w:qFormat/>
    <w:rsid w:val="002B0422"/>
    <w:pPr>
      <w:keepNext/>
      <w:outlineLvl w:val="4"/>
    </w:pPr>
    <w:rPr>
      <w:rFonts w:cs="Simplified Arabic"/>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0422"/>
    <w:pPr>
      <w:jc w:val="lowKashida"/>
    </w:pPr>
    <w:rPr>
      <w:lang w:val="x-none"/>
    </w:rPr>
  </w:style>
  <w:style w:type="paragraph" w:styleId="Footer">
    <w:name w:val="footer"/>
    <w:basedOn w:val="Normal"/>
    <w:link w:val="FooterChar"/>
    <w:uiPriority w:val="99"/>
    <w:rsid w:val="002B0422"/>
    <w:pPr>
      <w:tabs>
        <w:tab w:val="center" w:pos="4320"/>
        <w:tab w:val="right" w:pos="8640"/>
      </w:tabs>
    </w:pPr>
  </w:style>
  <w:style w:type="character" w:styleId="PageNumber">
    <w:name w:val="page number"/>
    <w:basedOn w:val="DefaultParagraphFont"/>
    <w:semiHidden/>
    <w:rsid w:val="002B0422"/>
  </w:style>
  <w:style w:type="paragraph" w:styleId="Title">
    <w:name w:val="Title"/>
    <w:basedOn w:val="Normal"/>
    <w:qFormat/>
    <w:rsid w:val="002B0422"/>
    <w:pPr>
      <w:jc w:val="center"/>
    </w:pPr>
    <w:rPr>
      <w:b/>
      <w:bCs/>
      <w:sz w:val="28"/>
      <w:szCs w:val="28"/>
    </w:rPr>
  </w:style>
  <w:style w:type="paragraph" w:styleId="Header">
    <w:name w:val="header"/>
    <w:basedOn w:val="Normal"/>
    <w:semiHidden/>
    <w:rsid w:val="002B0422"/>
    <w:pPr>
      <w:tabs>
        <w:tab w:val="center" w:pos="4153"/>
        <w:tab w:val="right" w:pos="8306"/>
      </w:tabs>
    </w:pPr>
  </w:style>
  <w:style w:type="paragraph" w:styleId="BodyText2">
    <w:name w:val="Body Text 2"/>
    <w:basedOn w:val="Normal"/>
    <w:link w:val="BodyText2Char"/>
    <w:semiHidden/>
    <w:rsid w:val="002B0422"/>
    <w:pPr>
      <w:tabs>
        <w:tab w:val="left" w:pos="9071"/>
      </w:tabs>
      <w:ind w:right="-180"/>
    </w:pPr>
    <w:rPr>
      <w:b/>
      <w:bCs/>
      <w:lang w:val="x-none"/>
    </w:rPr>
  </w:style>
  <w:style w:type="paragraph" w:styleId="BodyText3">
    <w:name w:val="Body Text 3"/>
    <w:basedOn w:val="Normal"/>
    <w:link w:val="BodyText3Char"/>
    <w:semiHidden/>
    <w:rsid w:val="002B0422"/>
    <w:pPr>
      <w:ind w:right="-360"/>
      <w:jc w:val="lowKashida"/>
    </w:pPr>
    <w:rPr>
      <w:sz w:val="26"/>
      <w:szCs w:val="26"/>
      <w:lang w:val="x-none"/>
    </w:rPr>
  </w:style>
  <w:style w:type="paragraph" w:styleId="BalloonText">
    <w:name w:val="Balloon Text"/>
    <w:basedOn w:val="Normal"/>
    <w:link w:val="BalloonTextChar"/>
    <w:uiPriority w:val="99"/>
    <w:semiHidden/>
    <w:unhideWhenUsed/>
    <w:rsid w:val="00BF7F95"/>
    <w:rPr>
      <w:rFonts w:ascii="Tahoma" w:hAnsi="Tahoma"/>
      <w:sz w:val="16"/>
      <w:szCs w:val="16"/>
      <w:lang w:val="x-none"/>
    </w:rPr>
  </w:style>
  <w:style w:type="character" w:customStyle="1" w:styleId="BalloonTextChar">
    <w:name w:val="Balloon Text Char"/>
    <w:link w:val="BalloonText"/>
    <w:uiPriority w:val="99"/>
    <w:semiHidden/>
    <w:rsid w:val="00BF7F95"/>
    <w:rPr>
      <w:rFonts w:ascii="Tahoma" w:hAnsi="Tahoma" w:cs="Tahoma"/>
      <w:sz w:val="16"/>
      <w:szCs w:val="16"/>
      <w:lang w:eastAsia="ar-SA"/>
    </w:rPr>
  </w:style>
  <w:style w:type="character" w:customStyle="1" w:styleId="Heading3Char">
    <w:name w:val="Heading 3 Char"/>
    <w:link w:val="Heading3"/>
    <w:rsid w:val="008E5AFE"/>
    <w:rPr>
      <w:rFonts w:cs="Simplified Arabic"/>
      <w:b/>
      <w:bCs/>
      <w:sz w:val="24"/>
      <w:szCs w:val="24"/>
      <w:lang w:eastAsia="ar-SA"/>
    </w:rPr>
  </w:style>
  <w:style w:type="character" w:styleId="Hyperlink">
    <w:name w:val="Hyperlink"/>
    <w:semiHidden/>
    <w:rsid w:val="00EB298C"/>
    <w:rPr>
      <w:rFonts w:ascii="Times New Roman" w:hAnsi="Times New Roman" w:cs="Times New Roman"/>
      <w:color w:val="0000FF"/>
      <w:u w:val="single"/>
    </w:rPr>
  </w:style>
  <w:style w:type="table" w:styleId="TableGrid">
    <w:name w:val="Table Grid"/>
    <w:basedOn w:val="TableNormal"/>
    <w:uiPriority w:val="59"/>
    <w:rsid w:val="0012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23C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Char">
    <w:name w:val="Body Text Char"/>
    <w:link w:val="BodyText"/>
    <w:rsid w:val="00E90E00"/>
    <w:rPr>
      <w:rFonts w:cs="Simplified Arabic"/>
      <w:sz w:val="24"/>
      <w:szCs w:val="24"/>
      <w:lang w:eastAsia="ar-SA"/>
    </w:rPr>
  </w:style>
  <w:style w:type="character" w:customStyle="1" w:styleId="Heading1Char">
    <w:name w:val="Heading 1 Char"/>
    <w:link w:val="Heading1"/>
    <w:rsid w:val="003205B1"/>
    <w:rPr>
      <w:rFonts w:cs="Simplified Arabic"/>
      <w:b/>
      <w:bCs/>
      <w:sz w:val="40"/>
      <w:szCs w:val="40"/>
      <w:lang w:eastAsia="ar-SA"/>
    </w:rPr>
  </w:style>
  <w:style w:type="character" w:customStyle="1" w:styleId="Heading4Char">
    <w:name w:val="Heading 4 Char"/>
    <w:link w:val="Heading4"/>
    <w:rsid w:val="003205B1"/>
    <w:rPr>
      <w:rFonts w:cs="Simplified Arabic"/>
      <w:b/>
      <w:bCs/>
      <w:sz w:val="24"/>
      <w:szCs w:val="24"/>
      <w:lang w:eastAsia="ar-SA"/>
    </w:rPr>
  </w:style>
  <w:style w:type="character" w:customStyle="1" w:styleId="BodyText3Char">
    <w:name w:val="Body Text 3 Char"/>
    <w:link w:val="BodyText3"/>
    <w:semiHidden/>
    <w:rsid w:val="003205B1"/>
    <w:rPr>
      <w:rFonts w:cs="Simplified Arabic"/>
      <w:sz w:val="26"/>
      <w:szCs w:val="26"/>
      <w:lang w:eastAsia="ar-SA"/>
    </w:rPr>
  </w:style>
  <w:style w:type="paragraph" w:styleId="NoSpacing">
    <w:name w:val="No Spacing"/>
    <w:uiPriority w:val="1"/>
    <w:qFormat/>
    <w:rsid w:val="00490EFA"/>
    <w:pPr>
      <w:bidi/>
    </w:pPr>
    <w:rPr>
      <w:sz w:val="24"/>
      <w:szCs w:val="24"/>
      <w:lang w:eastAsia="ar-SA"/>
    </w:rPr>
  </w:style>
  <w:style w:type="character" w:styleId="CommentReference">
    <w:name w:val="annotation reference"/>
    <w:uiPriority w:val="99"/>
    <w:semiHidden/>
    <w:unhideWhenUsed/>
    <w:rsid w:val="00832FD9"/>
    <w:rPr>
      <w:sz w:val="16"/>
      <w:szCs w:val="16"/>
    </w:rPr>
  </w:style>
  <w:style w:type="paragraph" w:styleId="CommentText">
    <w:name w:val="annotation text"/>
    <w:basedOn w:val="Normal"/>
    <w:link w:val="CommentTextChar"/>
    <w:uiPriority w:val="99"/>
    <w:semiHidden/>
    <w:unhideWhenUsed/>
    <w:rsid w:val="00832FD9"/>
    <w:rPr>
      <w:sz w:val="20"/>
      <w:szCs w:val="20"/>
      <w:lang w:val="x-none"/>
    </w:rPr>
  </w:style>
  <w:style w:type="character" w:customStyle="1" w:styleId="CommentTextChar">
    <w:name w:val="Comment Text Char"/>
    <w:link w:val="CommentText"/>
    <w:uiPriority w:val="99"/>
    <w:semiHidden/>
    <w:rsid w:val="00832FD9"/>
    <w:rPr>
      <w:lang w:eastAsia="ar-SA"/>
    </w:rPr>
  </w:style>
  <w:style w:type="paragraph" w:styleId="CommentSubject">
    <w:name w:val="annotation subject"/>
    <w:basedOn w:val="CommentText"/>
    <w:next w:val="CommentText"/>
    <w:link w:val="CommentSubjectChar"/>
    <w:uiPriority w:val="99"/>
    <w:semiHidden/>
    <w:unhideWhenUsed/>
    <w:rsid w:val="00832FD9"/>
    <w:rPr>
      <w:b/>
      <w:bCs/>
    </w:rPr>
  </w:style>
  <w:style w:type="character" w:customStyle="1" w:styleId="CommentSubjectChar">
    <w:name w:val="Comment Subject Char"/>
    <w:link w:val="CommentSubject"/>
    <w:uiPriority w:val="99"/>
    <w:semiHidden/>
    <w:rsid w:val="00832FD9"/>
    <w:rPr>
      <w:b/>
      <w:bCs/>
      <w:lang w:eastAsia="ar-SA"/>
    </w:rPr>
  </w:style>
  <w:style w:type="paragraph" w:styleId="Caption">
    <w:name w:val="caption"/>
    <w:basedOn w:val="Normal"/>
    <w:next w:val="Normal"/>
    <w:uiPriority w:val="35"/>
    <w:unhideWhenUsed/>
    <w:qFormat/>
    <w:rsid w:val="00C85D4A"/>
    <w:rPr>
      <w:b/>
      <w:bCs/>
      <w:sz w:val="20"/>
      <w:szCs w:val="20"/>
    </w:rPr>
  </w:style>
  <w:style w:type="paragraph" w:styleId="FootnoteText">
    <w:name w:val="footnote text"/>
    <w:basedOn w:val="Normal"/>
    <w:link w:val="FootnoteTextChar"/>
    <w:uiPriority w:val="99"/>
    <w:semiHidden/>
    <w:unhideWhenUsed/>
    <w:rsid w:val="00F52C3D"/>
    <w:rPr>
      <w:sz w:val="20"/>
      <w:szCs w:val="20"/>
      <w:lang w:val="x-none"/>
    </w:rPr>
  </w:style>
  <w:style w:type="character" w:customStyle="1" w:styleId="FootnoteTextChar">
    <w:name w:val="Footnote Text Char"/>
    <w:link w:val="FootnoteText"/>
    <w:uiPriority w:val="99"/>
    <w:semiHidden/>
    <w:rsid w:val="00F52C3D"/>
    <w:rPr>
      <w:lang w:val="x-none" w:eastAsia="ar-SA"/>
    </w:rPr>
  </w:style>
  <w:style w:type="character" w:styleId="FootnoteReference">
    <w:name w:val="footnote reference"/>
    <w:uiPriority w:val="99"/>
    <w:semiHidden/>
    <w:unhideWhenUsed/>
    <w:rsid w:val="00F52C3D"/>
    <w:rPr>
      <w:vertAlign w:val="superscript"/>
    </w:rPr>
  </w:style>
  <w:style w:type="character" w:customStyle="1" w:styleId="BodyText2Char">
    <w:name w:val="Body Text 2 Char"/>
    <w:link w:val="BodyText2"/>
    <w:semiHidden/>
    <w:rsid w:val="0088712B"/>
    <w:rPr>
      <w:rFonts w:cs="Simplified Arabic"/>
      <w:b/>
      <w:bCs/>
      <w:sz w:val="24"/>
      <w:szCs w:val="24"/>
      <w:lang w:eastAsia="ar-SA"/>
    </w:rPr>
  </w:style>
  <w:style w:type="paragraph" w:styleId="Revision">
    <w:name w:val="Revision"/>
    <w:hidden/>
    <w:uiPriority w:val="99"/>
    <w:semiHidden/>
    <w:rsid w:val="001F65DA"/>
    <w:rPr>
      <w:sz w:val="24"/>
      <w:szCs w:val="24"/>
      <w:lang w:eastAsia="ar-SA"/>
    </w:rPr>
  </w:style>
  <w:style w:type="paragraph" w:styleId="NormalWeb">
    <w:name w:val="Normal (Web)"/>
    <w:basedOn w:val="Normal"/>
    <w:rsid w:val="007D1971"/>
    <w:pPr>
      <w:bidi w:val="0"/>
      <w:spacing w:before="100" w:beforeAutospacing="1" w:after="100" w:afterAutospacing="1"/>
    </w:pPr>
    <w:rPr>
      <w:rFonts w:ascii="Arial Unicode MS" w:eastAsia="Arial Unicode MS" w:hAnsi="Arial Unicode MS" w:cs="Arial Unicode MS"/>
    </w:rPr>
  </w:style>
  <w:style w:type="character" w:customStyle="1" w:styleId="FooterChar">
    <w:name w:val="Footer Char"/>
    <w:basedOn w:val="DefaultParagraphFont"/>
    <w:link w:val="Footer"/>
    <w:uiPriority w:val="99"/>
    <w:rsid w:val="00731C9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7088">
      <w:bodyDiv w:val="1"/>
      <w:marLeft w:val="0"/>
      <w:marRight w:val="0"/>
      <w:marTop w:val="0"/>
      <w:marBottom w:val="0"/>
      <w:divBdr>
        <w:top w:val="none" w:sz="0" w:space="0" w:color="auto"/>
        <w:left w:val="none" w:sz="0" w:space="0" w:color="auto"/>
        <w:bottom w:val="none" w:sz="0" w:space="0" w:color="auto"/>
        <w:right w:val="none" w:sz="0" w:space="0" w:color="auto"/>
      </w:divBdr>
    </w:div>
    <w:div w:id="233053077">
      <w:bodyDiv w:val="1"/>
      <w:marLeft w:val="0"/>
      <w:marRight w:val="0"/>
      <w:marTop w:val="0"/>
      <w:marBottom w:val="0"/>
      <w:divBdr>
        <w:top w:val="none" w:sz="0" w:space="0" w:color="auto"/>
        <w:left w:val="none" w:sz="0" w:space="0" w:color="auto"/>
        <w:bottom w:val="none" w:sz="0" w:space="0" w:color="auto"/>
        <w:right w:val="none" w:sz="0" w:space="0" w:color="auto"/>
      </w:divBdr>
      <w:divsChild>
        <w:div w:id="145049892">
          <w:marLeft w:val="0"/>
          <w:marRight w:val="0"/>
          <w:marTop w:val="101"/>
          <w:marBottom w:val="0"/>
          <w:divBdr>
            <w:top w:val="none" w:sz="0" w:space="0" w:color="auto"/>
            <w:left w:val="none" w:sz="0" w:space="0" w:color="auto"/>
            <w:bottom w:val="none" w:sz="0" w:space="0" w:color="auto"/>
            <w:right w:val="none" w:sz="0" w:space="0" w:color="auto"/>
          </w:divBdr>
        </w:div>
      </w:divsChild>
    </w:div>
    <w:div w:id="1211262988">
      <w:bodyDiv w:val="1"/>
      <w:marLeft w:val="0"/>
      <w:marRight w:val="0"/>
      <w:marTop w:val="0"/>
      <w:marBottom w:val="0"/>
      <w:divBdr>
        <w:top w:val="none" w:sz="0" w:space="0" w:color="auto"/>
        <w:left w:val="none" w:sz="0" w:space="0" w:color="auto"/>
        <w:bottom w:val="none" w:sz="0" w:space="0" w:color="auto"/>
        <w:right w:val="none" w:sz="0" w:space="0" w:color="auto"/>
      </w:divBdr>
    </w:div>
    <w:div w:id="1513449847">
      <w:bodyDiv w:val="1"/>
      <w:marLeft w:val="0"/>
      <w:marRight w:val="0"/>
      <w:marTop w:val="0"/>
      <w:marBottom w:val="0"/>
      <w:divBdr>
        <w:top w:val="none" w:sz="0" w:space="0" w:color="auto"/>
        <w:left w:val="none" w:sz="0" w:space="0" w:color="auto"/>
        <w:bottom w:val="none" w:sz="0" w:space="0" w:color="auto"/>
        <w:right w:val="none" w:sz="0" w:space="0" w:color="auto"/>
      </w:divBdr>
    </w:div>
    <w:div w:id="16896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015840865550977E-2"/>
          <c:y val="0.12040536599591718"/>
          <c:w val="0.92592592592592593"/>
          <c:h val="0.50533683289588804"/>
        </c:manualLayout>
      </c:layout>
      <c:lineChart>
        <c:grouping val="standard"/>
        <c:varyColors val="0"/>
        <c:ser>
          <c:idx val="0"/>
          <c:order val="0"/>
          <c:tx>
            <c:v>Sheet1!#REF!</c:v>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0</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0-E8A1-43E8-92B5-31387BD11269}"/>
            </c:ext>
          </c:extLst>
        </c:ser>
        <c:ser>
          <c:idx val="1"/>
          <c:order val="1"/>
          <c:tx>
            <c:strRef>
              <c:f>Sheet1!$A$2</c:f>
              <c:strCache>
                <c:ptCount val="1"/>
                <c:pt idx="0">
                  <c:v>الضفة الغربية</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1"/>
              <c:delete val="1"/>
              <c:extLst>
                <c:ext xmlns:c15="http://schemas.microsoft.com/office/drawing/2012/chart" uri="{CE6537A1-D6FC-4f65-9D91-7224C49458BB}"/>
                <c:ext xmlns:c16="http://schemas.microsoft.com/office/drawing/2014/chart" uri="{C3380CC4-5D6E-409C-BE32-E72D297353CC}">
                  <c16:uniqueId val="{00000001-E8A1-43E8-92B5-31387BD11269}"/>
                </c:ext>
              </c:extLst>
            </c:dLbl>
            <c:dLbl>
              <c:idx val="2"/>
              <c:delete val="1"/>
              <c:extLst>
                <c:ext xmlns:c15="http://schemas.microsoft.com/office/drawing/2012/chart" uri="{CE6537A1-D6FC-4f65-9D91-7224C49458BB}"/>
                <c:ext xmlns:c16="http://schemas.microsoft.com/office/drawing/2014/chart" uri="{C3380CC4-5D6E-409C-BE32-E72D297353CC}">
                  <c16:uniqueId val="{00000002-E8A1-43E8-92B5-31387BD11269}"/>
                </c:ext>
              </c:extLst>
            </c:dLbl>
            <c:dLbl>
              <c:idx val="3"/>
              <c:delete val="1"/>
              <c:extLst>
                <c:ext xmlns:c15="http://schemas.microsoft.com/office/drawing/2012/chart" uri="{CE6537A1-D6FC-4f65-9D91-7224C49458BB}"/>
                <c:ext xmlns:c16="http://schemas.microsoft.com/office/drawing/2014/chart" uri="{C3380CC4-5D6E-409C-BE32-E72D297353CC}">
                  <c16:uniqueId val="{00000003-E8A1-43E8-92B5-31387BD11269}"/>
                </c:ext>
              </c:extLst>
            </c:dLbl>
            <c:dLbl>
              <c:idx val="4"/>
              <c:delete val="1"/>
              <c:extLst>
                <c:ext xmlns:c15="http://schemas.microsoft.com/office/drawing/2012/chart" uri="{CE6537A1-D6FC-4f65-9D91-7224C49458BB}"/>
                <c:ext xmlns:c16="http://schemas.microsoft.com/office/drawing/2014/chart" uri="{C3380CC4-5D6E-409C-BE32-E72D297353CC}">
                  <c16:uniqueId val="{00000004-E8A1-43E8-92B5-31387BD11269}"/>
                </c:ext>
              </c:extLst>
            </c:dLbl>
            <c:dLbl>
              <c:idx val="5"/>
              <c:delete val="1"/>
              <c:extLst>
                <c:ext xmlns:c15="http://schemas.microsoft.com/office/drawing/2012/chart" uri="{CE6537A1-D6FC-4f65-9D91-7224C49458BB}"/>
                <c:ext xmlns:c16="http://schemas.microsoft.com/office/drawing/2014/chart" uri="{C3380CC4-5D6E-409C-BE32-E72D297353CC}">
                  <c16:uniqueId val="{00000005-E8A1-43E8-92B5-31387BD11269}"/>
                </c:ext>
              </c:extLst>
            </c:dLbl>
            <c:dLbl>
              <c:idx val="6"/>
              <c:delete val="1"/>
              <c:extLst>
                <c:ext xmlns:c15="http://schemas.microsoft.com/office/drawing/2012/chart" uri="{CE6537A1-D6FC-4f65-9D91-7224C49458BB}"/>
                <c:ext xmlns:c16="http://schemas.microsoft.com/office/drawing/2014/chart" uri="{C3380CC4-5D6E-409C-BE32-E72D297353CC}">
                  <c16:uniqueId val="{00000006-E8A1-43E8-92B5-31387BD11269}"/>
                </c:ext>
              </c:extLst>
            </c:dLbl>
            <c:dLbl>
              <c:idx val="7"/>
              <c:spPr>
                <a:noFill/>
                <a:ln w="25401">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A1-43E8-92B5-31387BD11269}"/>
                </c:ext>
              </c:extLst>
            </c:dLbl>
            <c:dLbl>
              <c:idx val="8"/>
              <c:spPr>
                <a:noFill/>
                <a:ln w="25401">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A1-43E8-92B5-31387BD11269}"/>
                </c:ext>
              </c:extLst>
            </c:dLbl>
            <c:spPr>
              <a:noFill/>
              <a:ln w="25401">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0</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Sheet1!$B$2:$K$2</c:f>
              <c:numCache>
                <c:formatCode>0.0</c:formatCode>
                <c:ptCount val="10"/>
                <c:pt idx="0">
                  <c:v>16.600000000000001</c:v>
                </c:pt>
                <c:pt idx="1">
                  <c:v>17.5</c:v>
                </c:pt>
                <c:pt idx="2">
                  <c:v>18.399999999999999</c:v>
                </c:pt>
                <c:pt idx="3">
                  <c:v>17.3</c:v>
                </c:pt>
                <c:pt idx="4">
                  <c:v>14.6</c:v>
                </c:pt>
                <c:pt idx="5">
                  <c:v>15.7</c:v>
                </c:pt>
                <c:pt idx="6">
                  <c:v>15.5</c:v>
                </c:pt>
                <c:pt idx="7">
                  <c:v>13.1</c:v>
                </c:pt>
                <c:pt idx="8">
                  <c:v>18.3</c:v>
                </c:pt>
                <c:pt idx="9">
                  <c:v>31.4</c:v>
                </c:pt>
              </c:numCache>
            </c:numRef>
          </c:val>
          <c:smooth val="0"/>
          <c:extLst>
            <c:ext xmlns:c16="http://schemas.microsoft.com/office/drawing/2014/chart" uri="{C3380CC4-5D6E-409C-BE32-E72D297353CC}">
              <c16:uniqueId val="{00000009-E8A1-43E8-92B5-31387BD11269}"/>
            </c:ext>
          </c:extLst>
        </c:ser>
        <c:ser>
          <c:idx val="2"/>
          <c:order val="2"/>
          <c:tx>
            <c:v>Sheet1!#REF!</c:v>
          </c:tx>
          <c:spPr>
            <a:ln w="38101">
              <a:pattFill prst="pct75">
                <a:fgClr>
                  <a:srgbClr val="FFFF00"/>
                </a:fgClr>
                <a:bgClr>
                  <a:srgbClr val="FFFFFF"/>
                </a:bgClr>
              </a:pattFill>
              <a:prstDash val="solid"/>
            </a:ln>
          </c:spPr>
          <c:marker>
            <c:symbol val="triangle"/>
            <c:size val="5"/>
            <c:spPr>
              <a:solidFill>
                <a:srgbClr val="FFFF00"/>
              </a:solidFill>
              <a:ln>
                <a:solidFill>
                  <a:srgbClr val="FFFF00"/>
                </a:solidFill>
                <a:prstDash val="solid"/>
              </a:ln>
            </c:spPr>
          </c:marker>
          <c:dLbls>
            <c:spPr>
              <a:noFill/>
              <a:ln w="25401">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0</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A-E8A1-43E8-92B5-31387BD11269}"/>
            </c:ext>
          </c:extLst>
        </c:ser>
        <c:dLbls>
          <c:showLegendKey val="0"/>
          <c:showVal val="0"/>
          <c:showCatName val="0"/>
          <c:showSerName val="0"/>
          <c:showPercent val="0"/>
          <c:showBubbleSize val="0"/>
        </c:dLbls>
        <c:marker val="1"/>
        <c:smooth val="0"/>
        <c:axId val="188321584"/>
        <c:axId val="1"/>
      </c:lineChart>
      <c:catAx>
        <c:axId val="188321584"/>
        <c:scaling>
          <c:orientation val="minMax"/>
        </c:scaling>
        <c:delete val="0"/>
        <c:axPos val="b"/>
        <c:numFmt formatCode="General" sourceLinked="0"/>
        <c:majorTickMark val="out"/>
        <c:minorTickMark val="none"/>
        <c:tickLblPos val="nextTo"/>
        <c:spPr>
          <a:ln w="3175">
            <a:solidFill>
              <a:srgbClr val="000000"/>
            </a:solidFill>
            <a:prstDash val="solid"/>
          </a:ln>
        </c:spPr>
        <c:txPr>
          <a:bodyPr rot="-5400000" vert="horz"/>
          <a:lstStyle/>
          <a:p>
            <a:pPr>
              <a:defRPr sz="750"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max val="5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en-US"/>
          </a:p>
        </c:txPr>
        <c:crossAx val="188321584"/>
        <c:crosses val="autoZero"/>
        <c:crossBetween val="between"/>
      </c:valAx>
      <c:spPr>
        <a:solidFill>
          <a:srgbClr val="FFFFFF"/>
        </a:solidFill>
        <a:ln w="3175">
          <a:solidFill>
            <a:srgbClr val="000000"/>
          </a:solidFill>
          <a:prstDash val="solid"/>
        </a:ln>
      </c:spPr>
    </c:plotArea>
    <c:plotVisOnly val="1"/>
    <c:dispBlanksAs val="gap"/>
    <c:showDLblsOverMax val="0"/>
  </c:chart>
  <c:spPr>
    <a:noFill/>
    <a:ln w="6350" cap="rnd"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3183279742765272"/>
          <c:y val="0.18243243243243243"/>
          <c:w val="0.85852090032154338"/>
          <c:h val="0.65540540540540537"/>
        </c:manualLayout>
      </c:layout>
      <c:bar3DChart>
        <c:barDir val="col"/>
        <c:grouping val="clustered"/>
        <c:varyColors val="0"/>
        <c:ser>
          <c:idx val="0"/>
          <c:order val="0"/>
          <c:tx>
            <c:strRef>
              <c:f>Sheet1!$A$2</c:f>
              <c:strCache>
                <c:ptCount val="1"/>
                <c:pt idx="0">
                  <c:v>قطاع حكومي</c:v>
                </c:pt>
              </c:strCache>
            </c:strRef>
          </c:tx>
          <c:spPr>
            <a:solidFill>
              <a:srgbClr val="808080"/>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Sheet1!$B$2:$C$2</c:f>
              <c:numCache>
                <c:formatCode>General</c:formatCode>
                <c:ptCount val="2"/>
                <c:pt idx="0">
                  <c:v>21.8</c:v>
                </c:pt>
                <c:pt idx="1">
                  <c:v>28.2</c:v>
                </c:pt>
              </c:numCache>
            </c:numRef>
          </c:val>
          <c:extLst>
            <c:ext xmlns:c16="http://schemas.microsoft.com/office/drawing/2014/chart" uri="{C3380CC4-5D6E-409C-BE32-E72D297353CC}">
              <c16:uniqueId val="{00000000-ECFC-4978-A72E-D0002071D4AD}"/>
            </c:ext>
          </c:extLst>
        </c:ser>
        <c:ser>
          <c:idx val="1"/>
          <c:order val="1"/>
          <c:tx>
            <c:strRef>
              <c:f>Sheet1!$A$3</c:f>
              <c:strCache>
                <c:ptCount val="1"/>
                <c:pt idx="0">
                  <c:v>قطاع خاص</c:v>
                </c:pt>
              </c:strCache>
            </c:strRef>
          </c:tx>
          <c:spPr>
            <a:solidFill>
              <a:srgbClr val="C0C0C0"/>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Sheet1!$B$3:$C$3</c:f>
              <c:numCache>
                <c:formatCode>General</c:formatCode>
                <c:ptCount val="2"/>
                <c:pt idx="0">
                  <c:v>57.2</c:v>
                </c:pt>
                <c:pt idx="1">
                  <c:v>57.2</c:v>
                </c:pt>
              </c:numCache>
            </c:numRef>
          </c:val>
          <c:extLst>
            <c:ext xmlns:c16="http://schemas.microsoft.com/office/drawing/2014/chart" uri="{C3380CC4-5D6E-409C-BE32-E72D297353CC}">
              <c16:uniqueId val="{00000001-ECFC-4978-A72E-D0002071D4AD}"/>
            </c:ext>
          </c:extLst>
        </c:ser>
        <c:ser>
          <c:idx val="2"/>
          <c:order val="2"/>
          <c:tx>
            <c:strRef>
              <c:f>Sheet1!$A$4</c:f>
              <c:strCache>
                <c:ptCount val="1"/>
                <c:pt idx="0">
                  <c:v>اسرائيل والمستعمرات</c:v>
                </c:pt>
              </c:strCache>
            </c:strRef>
          </c:tx>
          <c:spPr>
            <a:solidFill>
              <a:srgbClr val="FFFFFF"/>
            </a:solidFill>
            <a:ln w="12699">
              <a:solidFill>
                <a:srgbClr val="000000"/>
              </a:solidFill>
              <a:prstDash val="solid"/>
            </a:ln>
          </c:spPr>
          <c:invertIfNegative val="0"/>
          <c:dLbls>
            <c:dLbl>
              <c:idx val="0"/>
              <c:layout>
                <c:manualLayout>
                  <c:x val="3.9541605251251888E-2"/>
                  <c:y val="-5.495120157534189E-2"/>
                </c:manualLayout>
              </c:layout>
              <c:spPr>
                <a:noFill/>
                <a:ln w="25398">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FC-4978-A72E-D0002071D4AD}"/>
                </c:ext>
              </c:extLst>
            </c:dLbl>
            <c:dLbl>
              <c:idx val="1"/>
              <c:layout>
                <c:manualLayout>
                  <c:x val="4.5055829645787582E-2"/>
                  <c:y val="-1.4410661034801375E-2"/>
                </c:manualLayout>
              </c:layout>
              <c:spPr>
                <a:noFill/>
                <a:ln w="25398">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FC-4978-A72E-D0002071D4AD}"/>
                </c:ext>
              </c:extLst>
            </c:dLbl>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2023</c:v>
                </c:pt>
                <c:pt idx="1">
                  <c:v>2024</c:v>
                </c:pt>
              </c:numCache>
            </c:numRef>
          </c:cat>
          <c:val>
            <c:numRef>
              <c:f>Sheet1!$B$4:$C$4</c:f>
              <c:numCache>
                <c:formatCode>General</c:formatCode>
                <c:ptCount val="2"/>
                <c:pt idx="0">
                  <c:v>21</c:v>
                </c:pt>
                <c:pt idx="1">
                  <c:v>21</c:v>
                </c:pt>
              </c:numCache>
            </c:numRef>
          </c:val>
          <c:extLst>
            <c:ext xmlns:c16="http://schemas.microsoft.com/office/drawing/2014/chart" uri="{C3380CC4-5D6E-409C-BE32-E72D297353CC}">
              <c16:uniqueId val="{00000004-ECFC-4978-A72E-D0002071D4AD}"/>
            </c:ext>
          </c:extLst>
        </c:ser>
        <c:dLbls>
          <c:showLegendKey val="0"/>
          <c:showVal val="0"/>
          <c:showCatName val="0"/>
          <c:showSerName val="0"/>
          <c:showPercent val="0"/>
          <c:showBubbleSize val="0"/>
        </c:dLbls>
        <c:gapWidth val="150"/>
        <c:gapDepth val="0"/>
        <c:shape val="box"/>
        <c:axId val="188317976"/>
        <c:axId val="1"/>
        <c:axId val="0"/>
      </c:bar3DChart>
      <c:catAx>
        <c:axId val="1883179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99">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88317976"/>
        <c:crosses val="autoZero"/>
        <c:crossBetween val="between"/>
      </c:valAx>
      <c:spPr>
        <a:noFill/>
        <a:ln w="25398">
          <a:noFill/>
        </a:ln>
      </c:spPr>
    </c:plotArea>
    <c:legend>
      <c:legendPos val="r"/>
      <c:layout>
        <c:manualLayout>
          <c:xMode val="edge"/>
          <c:yMode val="edge"/>
          <c:x val="5.4662379421221867E-2"/>
          <c:y val="4.72972972972973E-2"/>
          <c:w val="0.94212218649517687"/>
          <c:h val="0.12162162162162163"/>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B325-482C-A942-105DB819406C}"/>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B325-482C-A942-105DB819406C}"/>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B325-482C-A942-105DB819406C}"/>
            </c:ext>
          </c:extLst>
        </c:ser>
        <c:dLbls>
          <c:showLegendKey val="0"/>
          <c:showVal val="0"/>
          <c:showCatName val="0"/>
          <c:showSerName val="0"/>
          <c:showPercent val="0"/>
          <c:showBubbleSize val="0"/>
        </c:dLbls>
        <c:gapWidth val="150"/>
        <c:gapDepth val="0"/>
        <c:shape val="box"/>
        <c:axId val="188316664"/>
        <c:axId val="1"/>
        <c:axId val="0"/>
      </c:bar3DChart>
      <c:catAx>
        <c:axId val="1883166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88316664"/>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CAC0-440C-A4A2-EB42B84201CE}"/>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CAC0-440C-A4A2-EB42B84201CE}"/>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CAC0-440C-A4A2-EB42B84201CE}"/>
            </c:ext>
          </c:extLst>
        </c:ser>
        <c:dLbls>
          <c:showLegendKey val="0"/>
          <c:showVal val="0"/>
          <c:showCatName val="0"/>
          <c:showSerName val="0"/>
          <c:showPercent val="0"/>
          <c:showBubbleSize val="0"/>
        </c:dLbls>
        <c:gapWidth val="150"/>
        <c:gapDepth val="0"/>
        <c:shape val="box"/>
        <c:axId val="241946968"/>
        <c:axId val="1"/>
        <c:axId val="0"/>
      </c:bar3DChart>
      <c:catAx>
        <c:axId val="2419469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41946968"/>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2BAE-0943-4546-8E6C-6A0D20DA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يوم المرأة العالمي، 2010</vt:lpstr>
    </vt:vector>
  </TitlesOfParts>
  <Company>Hewlett-Packard Company</Company>
  <LinksUpToDate>false</LinksUpToDate>
  <CharactersWithSpaces>7177</CharactersWithSpaces>
  <SharedDoc>false</SharedDoc>
  <HLinks>
    <vt:vector size="6" baseType="variant">
      <vt:variant>
        <vt:i4>2424865</vt:i4>
      </vt:variant>
      <vt:variant>
        <vt:i4>12</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يوم المرأة العالمي، 2010</dc:title>
  <dc:subject/>
  <dc:creator>saadi</dc:creator>
  <cp:keywords/>
  <cp:lastModifiedBy>LOAY SHEHADEH</cp:lastModifiedBy>
  <cp:revision>4</cp:revision>
  <cp:lastPrinted>2025-04-24T05:50:00Z</cp:lastPrinted>
  <dcterms:created xsi:type="dcterms:W3CDTF">2025-04-30T07:01:00Z</dcterms:created>
  <dcterms:modified xsi:type="dcterms:W3CDTF">2025-04-30T07:30:00Z</dcterms:modified>
</cp:coreProperties>
</file>