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E4" w:rsidRDefault="00E92380" w:rsidP="005329E4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5"/>
      <w:bookmarkStart w:id="1" w:name="OLE_LINK6"/>
      <w:bookmarkStart w:id="2" w:name="_GoBack"/>
      <w:bookmarkEnd w:id="2"/>
      <w:r w:rsidRPr="000028A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الاحصاء الفلسطيني يصدر الرقم القياسي لأسعار المنتج في فلسطين </w:t>
      </w:r>
      <w:r w:rsidR="000028AD" w:rsidRPr="000028A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للعام 2024 </w:t>
      </w:r>
    </w:p>
    <w:p w:rsidR="0035782B" w:rsidRPr="000028AD" w:rsidRDefault="000028AD" w:rsidP="005329E4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028A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</w:t>
      </w:r>
      <w:r w:rsidR="00E92380" w:rsidRPr="000028A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لشهر </w:t>
      </w:r>
      <w:r w:rsidRPr="000028A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كانون أول</w:t>
      </w:r>
      <w:r w:rsidR="00E92380" w:rsidRPr="000028A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، </w:t>
      </w:r>
      <w:r w:rsidRPr="000028A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12</w:t>
      </w:r>
      <w:r w:rsidR="00E92380" w:rsidRPr="000028AD">
        <w:rPr>
          <w:rFonts w:ascii="Simplified Arabic" w:hAnsi="Simplified Arabic" w:cs="Simplified Arabic"/>
          <w:b/>
          <w:bCs/>
          <w:sz w:val="32"/>
          <w:szCs w:val="32"/>
          <w:rtl/>
        </w:rPr>
        <w:t>/2024</w:t>
      </w:r>
      <w:r w:rsidR="00E92380" w:rsidRPr="000028AD">
        <w:rPr>
          <w:rFonts w:ascii="Simplified Arabic" w:hAnsi="Simplified Arabic" w:cs="Simplified Arabic" w:hint="cs"/>
          <w:b/>
          <w:bCs/>
          <w:sz w:val="6"/>
          <w:szCs w:val="6"/>
          <w:rtl/>
        </w:rPr>
        <w:t xml:space="preserve"> </w:t>
      </w:r>
    </w:p>
    <w:p w:rsidR="00E92380" w:rsidRDefault="00E92380" w:rsidP="00466FBD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</w:p>
    <w:p w:rsidR="0070069C" w:rsidRPr="00E92380" w:rsidRDefault="0070069C" w:rsidP="00466FBD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923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ارتفاع حاد في</w:t>
      </w:r>
      <w:r w:rsidRPr="00E9238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أسعار المنتج</w:t>
      </w:r>
      <w:r w:rsidRPr="00E92380">
        <w:rPr>
          <w:rStyle w:val="FootnoteReference"/>
          <w:rFonts w:ascii="Simplified Arabic" w:hAnsi="Simplified Arabic" w:cs="Simplified Arabic"/>
          <w:b/>
          <w:bCs/>
          <w:sz w:val="28"/>
          <w:szCs w:val="28"/>
          <w:rtl/>
        </w:rPr>
        <w:footnoteReference w:customMarkFollows="1" w:id="1"/>
        <w:t>1</w:t>
      </w:r>
      <w:r w:rsidRPr="00E9238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خلال العام </w:t>
      </w:r>
      <w:r w:rsidR="00466FBD" w:rsidRPr="00E923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2024</w:t>
      </w:r>
    </w:p>
    <w:p w:rsidR="0070069C" w:rsidRPr="00E92380" w:rsidRDefault="0070069C" w:rsidP="00E013B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92380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العام 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لأسعار المنتج في فلسطين </w:t>
      </w:r>
      <w:r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ارتفاعاً حاداً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نسبته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66FBD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35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  <w:r w:rsidR="00553576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42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خلال العام </w:t>
      </w:r>
      <w:r w:rsidR="00466FBD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2024</w:t>
      </w:r>
      <w:r w:rsidR="00E013B5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>مع العام السابق</w:t>
      </w:r>
      <w:r w:rsidRPr="00E92380">
        <w:rPr>
          <w:rFonts w:ascii="Simplified Arabic" w:hAnsi="Simplified Arabic" w:cs="Simplified Arabic"/>
          <w:sz w:val="26"/>
          <w:szCs w:val="26"/>
          <w:rtl/>
        </w:rPr>
        <w:t xml:space="preserve">، حيث بلغ الرقم القياسي العام لأسعار المنتج </w:t>
      </w:r>
      <w:r w:rsidR="00466FBD" w:rsidRPr="00E92380">
        <w:rPr>
          <w:rFonts w:ascii="Simplified Arabic" w:hAnsi="Simplified Arabic" w:cs="Simplified Arabic" w:hint="cs"/>
          <w:sz w:val="26"/>
          <w:szCs w:val="26"/>
          <w:rtl/>
        </w:rPr>
        <w:t>150</w:t>
      </w:r>
      <w:r w:rsidRPr="00E92380">
        <w:rPr>
          <w:rFonts w:ascii="Simplified Arabic" w:hAnsi="Simplified Arabic" w:cs="Simplified Arabic"/>
          <w:sz w:val="26"/>
          <w:szCs w:val="26"/>
          <w:rtl/>
        </w:rPr>
        <w:t>.</w:t>
      </w:r>
      <w:r w:rsidR="00553576" w:rsidRPr="00E92380">
        <w:rPr>
          <w:rFonts w:ascii="Simplified Arabic" w:hAnsi="Simplified Arabic" w:cs="Simplified Arabic" w:hint="cs"/>
          <w:sz w:val="26"/>
          <w:szCs w:val="26"/>
          <w:rtl/>
        </w:rPr>
        <w:t>44</w:t>
      </w:r>
      <w:r w:rsidRPr="00E923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خلال العام </w:t>
      </w:r>
      <w:r w:rsidR="00466FBD" w:rsidRPr="00E92380">
        <w:rPr>
          <w:rFonts w:ascii="Simplified Arabic" w:hAnsi="Simplified Arabic" w:cs="Simplified Arabic" w:hint="cs"/>
          <w:sz w:val="26"/>
          <w:szCs w:val="26"/>
          <w:rtl/>
        </w:rPr>
        <w:t>2024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(سنة الأساس</w:t>
      </w:r>
      <w:r w:rsidRPr="00E923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>2019 = 100).</w:t>
      </w:r>
      <w:r w:rsidRPr="00E92380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70069C" w:rsidRPr="00E92380" w:rsidRDefault="0070069C" w:rsidP="0070069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70069C" w:rsidRPr="00E92380" w:rsidRDefault="0070069C" w:rsidP="00553576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92380">
        <w:rPr>
          <w:rFonts w:ascii="Simplified Arabic" w:hAnsi="Simplified Arabic" w:cs="Simplified Arabic"/>
          <w:sz w:val="26"/>
          <w:szCs w:val="26"/>
          <w:rtl/>
        </w:rPr>
        <w:t xml:space="preserve">ويعود السبب الرئيسي لهذا 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>الارتفاع الحاد</w:t>
      </w:r>
      <w:r w:rsidRPr="00E92380">
        <w:rPr>
          <w:rFonts w:ascii="Simplified Arabic" w:hAnsi="Simplified Arabic" w:cs="Simplified Arabic"/>
          <w:sz w:val="26"/>
          <w:szCs w:val="26"/>
          <w:rtl/>
        </w:rPr>
        <w:t xml:space="preserve"> إلى 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>ارتفاع أسعار السلع</w:t>
      </w:r>
      <w:r w:rsidR="009A26A9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والخدمات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ضمن الأنشطة الرئيسية الآتية</w:t>
      </w:r>
      <w:r w:rsidRPr="00E92380">
        <w:rPr>
          <w:rFonts w:ascii="Simplified Arabic" w:hAnsi="Simplified Arabic" w:cs="Simplified Arabic" w:hint="cs"/>
          <w:sz w:val="26"/>
          <w:szCs w:val="26"/>
          <w:rtl/>
          <w:lang w:val="en-US"/>
        </w:rPr>
        <w:t>: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الزراعة والحراجة وصيد الأسماك </w:t>
      </w:r>
      <w:r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بنسبة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66FBD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99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  <w:r w:rsidR="00466FBD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14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466FBD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وأنشطة</w:t>
      </w:r>
      <w:r w:rsidR="00466FBD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الصناعات التحويلية </w:t>
      </w:r>
      <w:r w:rsidR="00466FBD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بنسبة</w:t>
      </w:r>
      <w:r w:rsidR="00466FBD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66FBD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7</w:t>
      </w:r>
      <w:r w:rsidR="00466FBD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  <w:r w:rsidR="00553576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52</w:t>
      </w:r>
      <w:r w:rsidR="00466FBD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466FBD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،</w:t>
      </w:r>
      <w:r w:rsidR="00466FBD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و</w:t>
      </w:r>
      <w:r w:rsidR="00466FBD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</w:t>
      </w:r>
      <w:r w:rsidR="00466FBD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إمدادات المياه وأنشطة الصرف الصحي وإدارة النفايات ومعالجتها </w:t>
      </w:r>
      <w:r w:rsidR="00466FBD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بنسبة</w:t>
      </w:r>
      <w:r w:rsidR="00466FBD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66FBD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3</w:t>
      </w:r>
      <w:r w:rsidR="00466FBD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  <w:r w:rsidR="00466FBD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80</w:t>
      </w:r>
      <w:r w:rsidR="00466FBD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466FBD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إمدادات الكهرباء والغاز والبخار وتكييف الهواء </w:t>
      </w:r>
      <w:r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بنسبة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553576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  <w:r w:rsidR="00553576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77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Pr="00E92380">
        <w:rPr>
          <w:rFonts w:ascii="Simplified Arabic" w:hAnsi="Simplified Arabic" w:cs="Simplified Arabic"/>
          <w:sz w:val="26"/>
          <w:szCs w:val="26"/>
          <w:rtl/>
        </w:rPr>
        <w:t>،</w:t>
      </w:r>
      <w:r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466FBD" w:rsidRPr="00E92380">
        <w:rPr>
          <w:rFonts w:ascii="Simplified Arabic" w:hAnsi="Simplified Arabic" w:cs="Simplified Arabic" w:hint="cs"/>
          <w:sz w:val="26"/>
          <w:szCs w:val="26"/>
          <w:rtl/>
        </w:rPr>
        <w:t>بينما انخفضت أسعار السلع</w:t>
      </w:r>
      <w:r w:rsidR="00466FBD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466FBD" w:rsidRPr="00E92380">
        <w:rPr>
          <w:rFonts w:ascii="Simplified Arabic" w:hAnsi="Simplified Arabic" w:cs="Simplified Arabic" w:hint="cs"/>
          <w:sz w:val="26"/>
          <w:szCs w:val="26"/>
          <w:rtl/>
        </w:rPr>
        <w:t>ضمن</w:t>
      </w:r>
      <w:r w:rsidR="00466FBD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التعدين واستغلال المحاجر </w:t>
      </w:r>
      <w:r w:rsidR="00466FBD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بمقدار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66FBD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1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  <w:r w:rsidR="00466FBD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03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466FBD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sz w:val="26"/>
          <w:szCs w:val="26"/>
          <w:rtl/>
        </w:rPr>
        <w:t xml:space="preserve">خلال العام </w:t>
      </w:r>
      <w:r w:rsidR="00466FBD" w:rsidRPr="00E92380">
        <w:rPr>
          <w:rFonts w:ascii="Simplified Arabic" w:hAnsi="Simplified Arabic" w:cs="Simplified Arabic" w:hint="cs"/>
          <w:sz w:val="26"/>
          <w:szCs w:val="26"/>
          <w:rtl/>
        </w:rPr>
        <w:t>2024</w:t>
      </w:r>
      <w:r w:rsidRPr="00E92380">
        <w:rPr>
          <w:rFonts w:ascii="Simplified Arabic" w:hAnsi="Simplified Arabic" w:cs="Simplified Arabic"/>
          <w:sz w:val="26"/>
          <w:szCs w:val="26"/>
          <w:rtl/>
        </w:rPr>
        <w:t xml:space="preserve"> مقارنة بالعام السابق.</w:t>
      </w:r>
    </w:p>
    <w:p w:rsidR="0070069C" w:rsidRPr="00E92380" w:rsidRDefault="0070069C" w:rsidP="0070069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70069C" w:rsidRPr="00E92380" w:rsidRDefault="0070069C" w:rsidP="00553576">
      <w:pPr>
        <w:pStyle w:val="Header"/>
        <w:tabs>
          <w:tab w:val="clear" w:pos="4320"/>
          <w:tab w:val="center" w:pos="4677"/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92380">
        <w:rPr>
          <w:rFonts w:ascii="Simplified Arabic" w:hAnsi="Simplified Arabic" w:cs="Simplified Arabic"/>
          <w:sz w:val="26"/>
          <w:szCs w:val="26"/>
          <w:rtl/>
        </w:rPr>
        <w:t xml:space="preserve">سجلت أسعار 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المنتج</w:t>
      </w:r>
      <w:r w:rsidRPr="00E923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للسلع</w:t>
      </w:r>
      <w:r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المنتجة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المستهلكة محلياً </w:t>
      </w:r>
      <w:r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ارتفاعاً حاداً نسبته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66FBD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38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  <w:r w:rsidR="00553576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55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، 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>كما سجلت أسعار</w:t>
      </w:r>
      <w:r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المنتج للسلع المنتجة محلياً والمصدرة للخارج </w:t>
      </w:r>
      <w:r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ارتفاعاً</w:t>
      </w:r>
      <w:r w:rsidR="00466FBD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حاداً</w:t>
      </w:r>
      <w:r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نسبته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66FBD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5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  <w:r w:rsidR="00466FBD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69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sz w:val="26"/>
          <w:szCs w:val="26"/>
          <w:rtl/>
        </w:rPr>
        <w:t xml:space="preserve">خلال العام </w:t>
      </w:r>
      <w:r w:rsidR="00466FBD" w:rsidRPr="00E92380">
        <w:rPr>
          <w:rFonts w:ascii="Simplified Arabic" w:hAnsi="Simplified Arabic" w:cs="Simplified Arabic" w:hint="cs"/>
          <w:sz w:val="26"/>
          <w:szCs w:val="26"/>
          <w:rtl/>
        </w:rPr>
        <w:t>2024</w:t>
      </w:r>
      <w:r w:rsidRPr="00E92380">
        <w:rPr>
          <w:rFonts w:ascii="Simplified Arabic" w:hAnsi="Simplified Arabic" w:cs="Simplified Arabic"/>
          <w:sz w:val="26"/>
          <w:szCs w:val="26"/>
          <w:rtl/>
        </w:rPr>
        <w:t xml:space="preserve"> مقارنة بالعام السابق.</w:t>
      </w:r>
    </w:p>
    <w:p w:rsidR="0070069C" w:rsidRPr="00E92380" w:rsidRDefault="0070069C" w:rsidP="0070069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70069C" w:rsidRPr="00E92380" w:rsidRDefault="0070069C" w:rsidP="00466FBD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E9238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نسب </w:t>
      </w:r>
      <w:r w:rsidRPr="00E923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التغّير</w:t>
      </w:r>
      <w:r w:rsidRPr="00E9238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السنوية لأسعار المنتج في فلسطين للسنوات </w:t>
      </w:r>
      <w:r w:rsidR="00466FBD" w:rsidRPr="00E923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2014</w:t>
      </w:r>
      <w:r w:rsidRPr="00E9238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– </w:t>
      </w:r>
      <w:r w:rsidR="00466FBD" w:rsidRPr="00E923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2024</w:t>
      </w:r>
    </w:p>
    <w:p w:rsidR="0070069C" w:rsidRDefault="00940BEE" w:rsidP="00E92380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noProof/>
          <w:lang w:val="en-GB" w:eastAsia="en-GB"/>
        </w:rPr>
        <w:drawing>
          <wp:inline distT="0" distB="0" distL="0" distR="0">
            <wp:extent cx="3209925" cy="1971675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92380" w:rsidRPr="00E92380" w:rsidRDefault="00E92380" w:rsidP="000B7A58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35782B" w:rsidRPr="00E92380" w:rsidRDefault="00702CD7" w:rsidP="000B7A58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انخفاض</w:t>
      </w:r>
      <w:r w:rsidR="00727C49"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حاد</w:t>
      </w:r>
      <w:r w:rsidR="00E0145F"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35782B"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في</w:t>
      </w:r>
      <w:r w:rsidR="00E0145F"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35782B"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أسعار</w:t>
      </w:r>
      <w:r w:rsidR="00E0145F"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35782B"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المنتج</w:t>
      </w:r>
      <w:r w:rsidR="00E0145F"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35782B"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خلال</w:t>
      </w:r>
      <w:r w:rsidR="00E0145F"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FC7A03"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شهر</w:t>
      </w:r>
      <w:r w:rsidR="00727C49"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كانون الأول</w:t>
      </w:r>
      <w:r w:rsidR="00E0145F"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2024</w:t>
      </w:r>
    </w:p>
    <w:bookmarkEnd w:id="0"/>
    <w:bookmarkEnd w:id="1"/>
    <w:p w:rsidR="006E587D" w:rsidRPr="00784C29" w:rsidRDefault="006E587D" w:rsidP="00553576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سجل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الرقم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القياسي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العام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لأسعار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المنتج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702CD7">
        <w:rPr>
          <w:rFonts w:ascii="Simplified Arabic" w:hAnsi="Simplified Arabic" w:cs="Simplified Arabic" w:hint="cs"/>
          <w:sz w:val="24"/>
          <w:szCs w:val="24"/>
          <w:rtl/>
        </w:rPr>
        <w:t>انخفاضاً</w:t>
      </w:r>
      <w:r w:rsidR="00727C49">
        <w:rPr>
          <w:rFonts w:ascii="Simplified Arabic" w:hAnsi="Simplified Arabic" w:cs="Simplified Arabic" w:hint="cs"/>
          <w:sz w:val="24"/>
          <w:szCs w:val="24"/>
          <w:rtl/>
        </w:rPr>
        <w:t xml:space="preserve"> حاداً</w:t>
      </w:r>
      <w:r w:rsidR="00E0145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02CD7">
        <w:rPr>
          <w:rFonts w:ascii="Simplified Arabic" w:hAnsi="Simplified Arabic" w:cs="Simplified Arabic" w:hint="cs"/>
          <w:sz w:val="24"/>
          <w:szCs w:val="24"/>
          <w:rtl/>
        </w:rPr>
        <w:t>مقداره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727C49">
        <w:rPr>
          <w:rFonts w:ascii="Simplified Arabic" w:hAnsi="Simplified Arabic" w:cs="Simplified Arabic"/>
          <w:color w:val="000000"/>
          <w:sz w:val="24"/>
          <w:szCs w:val="24"/>
          <w:lang w:val="en-US"/>
        </w:rPr>
        <w:t>5</w:t>
      </w:r>
      <w:r w:rsidR="00915BE2" w:rsidRPr="00784C29">
        <w:rPr>
          <w:rFonts w:ascii="Simplified Arabic" w:hAnsi="Simplified Arabic" w:cs="Simplified Arabic"/>
          <w:color w:val="000000"/>
          <w:sz w:val="24"/>
          <w:szCs w:val="24"/>
          <w:lang w:val="en-US"/>
        </w:rPr>
        <w:t>.</w:t>
      </w:r>
      <w:r w:rsidR="00553576">
        <w:rPr>
          <w:rFonts w:ascii="Simplified Arabic" w:hAnsi="Simplified Arabic" w:cs="Simplified Arabic"/>
          <w:color w:val="000000"/>
          <w:sz w:val="24"/>
          <w:szCs w:val="24"/>
          <w:lang w:val="en-US"/>
        </w:rPr>
        <w:t>77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%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خلال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شهر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727C49">
        <w:rPr>
          <w:rFonts w:ascii="Simplified Arabic" w:hAnsi="Simplified Arabic" w:cs="Simplified Arabic" w:hint="cs"/>
          <w:color w:val="000000"/>
          <w:sz w:val="24"/>
          <w:szCs w:val="24"/>
          <w:rtl/>
          <w:lang w:val="en-US" w:bidi="ar-DZ"/>
        </w:rPr>
        <w:t>كانون الأول</w:t>
      </w:r>
      <w:r w:rsidR="00E0145F">
        <w:rPr>
          <w:rFonts w:ascii="Simplified Arabic" w:hAnsi="Simplified Arabic" w:cs="Simplified Arabic" w:hint="cs"/>
          <w:color w:val="000000"/>
          <w:sz w:val="24"/>
          <w:szCs w:val="24"/>
          <w:rtl/>
          <w:lang w:val="en-US" w:bidi="ar-DZ"/>
        </w:rPr>
        <w:t xml:space="preserve"> </w:t>
      </w:r>
      <w:r w:rsidR="00702CD7">
        <w:rPr>
          <w:rFonts w:ascii="Simplified Arabic" w:hAnsi="Simplified Arabic" w:cs="Simplified Arabic" w:hint="cs"/>
          <w:color w:val="000000"/>
          <w:sz w:val="24"/>
          <w:szCs w:val="24"/>
          <w:rtl/>
          <w:lang w:val="en-US" w:bidi="ar-DZ"/>
        </w:rPr>
        <w:t>2024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مقارنة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مع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شهر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727C4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تشرين الثاني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D7672D" w:rsidRPr="00784C2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2024</w:t>
      </w:r>
      <w:r w:rsidRPr="00784C29">
        <w:rPr>
          <w:rFonts w:ascii="Simplified Arabic" w:hAnsi="Simplified Arabic" w:cs="Simplified Arabic"/>
          <w:vanish/>
          <w:color w:val="000000"/>
          <w:sz w:val="24"/>
          <w:szCs w:val="24"/>
          <w:rtl/>
        </w:rPr>
        <w:t>أ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،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حيث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بلغ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الرقم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القياسي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العام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553576">
        <w:rPr>
          <w:rFonts w:ascii="Simplified Arabic" w:hAnsi="Simplified Arabic" w:cs="Simplified Arabic" w:hint="cs"/>
          <w:color w:val="000000"/>
          <w:sz w:val="24"/>
          <w:szCs w:val="24"/>
          <w:rtl/>
        </w:rPr>
        <w:t>165</w:t>
      </w:r>
      <w:r w:rsidR="008B33FD" w:rsidRPr="00784C2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  <w:r w:rsidR="00553576">
        <w:rPr>
          <w:rFonts w:ascii="Simplified Arabic" w:hAnsi="Simplified Arabic" w:cs="Simplified Arabic" w:hint="cs"/>
          <w:color w:val="000000"/>
          <w:sz w:val="24"/>
          <w:szCs w:val="24"/>
          <w:rtl/>
        </w:rPr>
        <w:t>87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خلال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شهر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727C49">
        <w:rPr>
          <w:rFonts w:ascii="Simplified Arabic" w:hAnsi="Simplified Arabic" w:cs="Simplified Arabic" w:hint="cs"/>
          <w:color w:val="000000"/>
          <w:sz w:val="24"/>
          <w:szCs w:val="24"/>
          <w:rtl/>
          <w:lang w:val="en-US" w:bidi="ar-DZ"/>
        </w:rPr>
        <w:t>كانون الأول</w:t>
      </w:r>
      <w:r w:rsidR="00E0145F">
        <w:rPr>
          <w:rFonts w:ascii="Simplified Arabic" w:hAnsi="Simplified Arabic" w:cs="Simplified Arabic" w:hint="cs"/>
          <w:color w:val="000000"/>
          <w:sz w:val="24"/>
          <w:szCs w:val="24"/>
          <w:rtl/>
          <w:lang w:val="en-US" w:bidi="ar-DZ"/>
        </w:rPr>
        <w:t xml:space="preserve"> </w:t>
      </w:r>
      <w:r w:rsidR="00702CD7">
        <w:rPr>
          <w:rFonts w:ascii="Simplified Arabic" w:hAnsi="Simplified Arabic" w:cs="Simplified Arabic" w:hint="cs"/>
          <w:color w:val="000000"/>
          <w:sz w:val="24"/>
          <w:szCs w:val="24"/>
          <w:rtl/>
          <w:lang w:val="en-US" w:bidi="ar-DZ"/>
        </w:rPr>
        <w:t>2024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مقارنة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ﺒ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E45A0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176</w:t>
      </w:r>
      <w:r w:rsidR="008B33FD" w:rsidRPr="00784C2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  <w:r w:rsidR="00E45A0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02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خلال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F74BC2" w:rsidRPr="00784C2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شهر</w:t>
      </w:r>
      <w:r w:rsidR="00E0145F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727C4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تشرين الثاني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D7672D" w:rsidRPr="00784C2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2024</w:t>
      </w:r>
      <w:r w:rsidR="00E0145F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(</w:t>
      </w:r>
      <w:r w:rsidRPr="00784C2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سنة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الأساس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85384C" w:rsidRPr="00784C2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2019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=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100).</w:t>
      </w:r>
    </w:p>
    <w:p w:rsidR="009A2667" w:rsidRPr="00E92380" w:rsidRDefault="009A2667" w:rsidP="00DA7E4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5329E4" w:rsidRDefault="005329E4" w:rsidP="00702CD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p w:rsidR="00702CD7" w:rsidRPr="00E92380" w:rsidRDefault="00702CD7" w:rsidP="00702CD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الرقم</w:t>
      </w:r>
      <w:r w:rsidR="00E0145F"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القياسي</w:t>
      </w:r>
      <w:r w:rsidR="00E0145F"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لأسعار</w:t>
      </w:r>
      <w:r w:rsidR="00E0145F"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المنتج</w:t>
      </w:r>
      <w:r w:rsidR="00E0145F"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للسلع</w:t>
      </w:r>
      <w:r w:rsidR="00E0145F"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المستهلكة</w:t>
      </w:r>
      <w:r w:rsidR="00E0145F"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محلياً</w:t>
      </w:r>
      <w:r w:rsidR="00E0145F"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خلال</w:t>
      </w:r>
      <w:r w:rsidR="00E0145F"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شهر</w:t>
      </w:r>
      <w:r w:rsidR="00E0145F"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727C49"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كانون الأول</w:t>
      </w:r>
      <w:r w:rsidR="00E0145F"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2024</w:t>
      </w:r>
    </w:p>
    <w:p w:rsidR="00702CD7" w:rsidRDefault="00702CD7" w:rsidP="00553576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lastRenderedPageBreak/>
        <w:t>سجل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الرقم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القياسي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لأسعار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المنتج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للسلع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المستهلكة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محلياً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من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الإنتاج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المحلي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انخفاضاً</w:t>
      </w:r>
      <w:r w:rsidR="00E45A05">
        <w:rPr>
          <w:rFonts w:ascii="Simplified Arabic" w:hAnsi="Simplified Arabic" w:cs="Simplified Arabic" w:hint="cs"/>
          <w:sz w:val="24"/>
          <w:szCs w:val="24"/>
          <w:rtl/>
        </w:rPr>
        <w:t xml:space="preserve"> حاداً</w:t>
      </w:r>
      <w:r w:rsidR="00E0145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مقداره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E45A05">
        <w:rPr>
          <w:rFonts w:ascii="Simplified Arabic" w:hAnsi="Simplified Arabic" w:cs="Simplified Arabic"/>
          <w:color w:val="000000"/>
          <w:sz w:val="24"/>
          <w:szCs w:val="24"/>
          <w:lang w:val="en-US"/>
        </w:rPr>
        <w:t>5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lang w:val="en-US"/>
        </w:rPr>
        <w:t>.</w:t>
      </w:r>
      <w:r w:rsidR="00553576">
        <w:rPr>
          <w:rFonts w:ascii="Simplified Arabic" w:hAnsi="Simplified Arabic" w:cs="Simplified Arabic"/>
          <w:color w:val="000000"/>
          <w:sz w:val="24"/>
          <w:szCs w:val="24"/>
          <w:lang w:val="en-US"/>
        </w:rPr>
        <w:t>87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%،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حيث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بلغ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553576">
        <w:rPr>
          <w:rFonts w:ascii="Simplified Arabic" w:hAnsi="Simplified Arabic" w:cs="Simplified Arabic" w:hint="cs"/>
          <w:color w:val="000000"/>
          <w:sz w:val="24"/>
          <w:szCs w:val="24"/>
          <w:rtl/>
        </w:rPr>
        <w:t>170</w:t>
      </w:r>
      <w:r w:rsidRPr="00784C2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  <w:r w:rsidR="00553576">
        <w:rPr>
          <w:rFonts w:ascii="Simplified Arabic" w:hAnsi="Simplified Arabic" w:cs="Simplified Arabic" w:hint="cs"/>
          <w:color w:val="000000"/>
          <w:sz w:val="24"/>
          <w:szCs w:val="24"/>
          <w:rtl/>
        </w:rPr>
        <w:t>82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0028AD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   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خلال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شهر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727C4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كانون الأول</w:t>
      </w:r>
      <w:r w:rsidR="00E0145F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2024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مقارنة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ﺒ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E45A0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181</w:t>
      </w:r>
      <w:r w:rsidRPr="00784C2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  <w:r w:rsidR="00E45A0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48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خلال</w:t>
      </w:r>
      <w:r w:rsidR="00E0145F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شهر</w:t>
      </w:r>
      <w:r w:rsidR="00E0145F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727C4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تشرين الثاني</w:t>
      </w:r>
      <w:r w:rsidR="00E45A05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2024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(</w:t>
      </w:r>
      <w:r w:rsidRPr="00784C2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سنة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الأساس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2019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=</w:t>
      </w:r>
      <w:r w:rsidR="00E0145F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84C29">
        <w:rPr>
          <w:rFonts w:ascii="Simplified Arabic" w:hAnsi="Simplified Arabic" w:cs="Simplified Arabic"/>
          <w:color w:val="000000"/>
          <w:sz w:val="24"/>
          <w:szCs w:val="24"/>
          <w:rtl/>
        </w:rPr>
        <w:t>100).</w:t>
      </w:r>
    </w:p>
    <w:p w:rsidR="00E92380" w:rsidRPr="005329E4" w:rsidRDefault="00E92380" w:rsidP="00702CD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0F0454" w:rsidRPr="00E92380" w:rsidRDefault="000F0454" w:rsidP="000F045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الرقم</w:t>
      </w:r>
      <w:r w:rsidR="00E0145F"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القياسي</w:t>
      </w:r>
      <w:r w:rsidR="00E0145F"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لأسعار</w:t>
      </w:r>
      <w:r w:rsidR="00E0145F"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المنتج</w:t>
      </w:r>
      <w:r w:rsidR="00E0145F"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للسلع</w:t>
      </w:r>
      <w:r w:rsidR="00E0145F"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المصدرة</w:t>
      </w:r>
      <w:r w:rsidR="00E0145F"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خلال</w:t>
      </w:r>
      <w:r w:rsidR="00E0145F"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شهر</w:t>
      </w:r>
      <w:r w:rsidR="00E0145F"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727C49"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كانون الأول</w:t>
      </w:r>
      <w:r w:rsidR="00E0145F"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2024</w:t>
      </w:r>
    </w:p>
    <w:p w:rsidR="000F0454" w:rsidRPr="00E92380" w:rsidRDefault="000F0454" w:rsidP="00E45A05">
      <w:pPr>
        <w:pStyle w:val="Header"/>
        <w:tabs>
          <w:tab w:val="clear" w:pos="4320"/>
          <w:tab w:val="clear" w:pos="8640"/>
          <w:tab w:val="center" w:pos="-1"/>
          <w:tab w:val="left" w:pos="5528"/>
          <w:tab w:val="right" w:pos="10206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>سجل</w:t>
      </w:r>
      <w:r w:rsidR="00E0145F"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>الرقم</w:t>
      </w:r>
      <w:r w:rsidR="00E0145F"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>القياسي</w:t>
      </w:r>
      <w:r w:rsidR="00E0145F"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>لأسعار</w:t>
      </w:r>
      <w:r w:rsidR="00E0145F" w:rsidRPr="00E923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المنتج</w:t>
      </w:r>
      <w:r w:rsidR="00E0145F"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</w:t>
      </w:r>
      <w:r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>لسلع</w:t>
      </w:r>
      <w:r w:rsidR="00E0145F"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>المصدرة</w:t>
      </w:r>
      <w:r w:rsidR="00E0145F"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 w:rsidR="00E0145F"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>الإنتاج</w:t>
      </w:r>
      <w:r w:rsidR="00E0145F"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>المحلي</w:t>
      </w:r>
      <w:r w:rsidR="00E0145F" w:rsidRPr="00E923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702CD7" w:rsidRPr="00E92380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="00E45A05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حاداً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02CD7" w:rsidRPr="00E92380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="00E0145F"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E45A05" w:rsidRPr="00E923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4</w:t>
      </w:r>
      <w:r w:rsidRPr="00E923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E45A05" w:rsidRPr="00E923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33</w:t>
      </w:r>
      <w:r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>%،</w:t>
      </w:r>
      <w:r w:rsidR="00E0145F"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>حيث</w:t>
      </w:r>
      <w:r w:rsidR="00E0145F"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>بلغ</w:t>
      </w:r>
      <w:r w:rsidR="00E0145F"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E45A05" w:rsidRPr="00E923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119</w:t>
      </w:r>
      <w:r w:rsidRPr="00E923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E45A05" w:rsidRPr="00E923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68</w:t>
      </w:r>
      <w:r w:rsidR="00E0145F"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 w:rsidR="00E0145F"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>شهر</w:t>
      </w:r>
      <w:r w:rsidR="00E0145F"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727C49" w:rsidRPr="00E923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كانون الأول</w:t>
      </w:r>
      <w:r w:rsidR="00E0145F" w:rsidRPr="00E923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2024</w:t>
      </w:r>
      <w:r w:rsidR="00E0145F"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>مقارنة</w:t>
      </w:r>
      <w:r w:rsidR="00E0145F"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>بـ</w:t>
      </w:r>
      <w:r w:rsidR="00E0145F"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702CD7" w:rsidRPr="00E923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125</w:t>
      </w:r>
      <w:r w:rsidRPr="00E923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E45A05" w:rsidRPr="00E923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09</w:t>
      </w:r>
      <w:r w:rsidR="00E0145F"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 w:rsidR="00E0145F"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>شهر</w:t>
      </w:r>
      <w:r w:rsidR="00E0145F" w:rsidRPr="00E923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727C49" w:rsidRPr="00E923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تشرين الثاني</w:t>
      </w:r>
      <w:r w:rsidR="00E0145F" w:rsidRPr="00E923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2024</w:t>
      </w:r>
      <w:r w:rsidR="00E0145F" w:rsidRPr="00E923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E923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="00E0145F"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>الأساس</w:t>
      </w:r>
      <w:r w:rsidR="00E0145F"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="00E0145F"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>=</w:t>
      </w:r>
      <w:r w:rsidR="00E0145F"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color w:val="000000"/>
          <w:sz w:val="26"/>
          <w:szCs w:val="26"/>
          <w:rtl/>
        </w:rPr>
        <w:t>100).</w:t>
      </w:r>
    </w:p>
    <w:p w:rsidR="000B53BE" w:rsidRPr="00E92380" w:rsidRDefault="000B53BE" w:rsidP="006E587D">
      <w:pPr>
        <w:pStyle w:val="BodyText2"/>
        <w:spacing w:after="0" w:line="240" w:lineRule="auto"/>
        <w:jc w:val="both"/>
        <w:rPr>
          <w:rFonts w:ascii="Simplified Arabic" w:eastAsia="Calibri" w:hAnsi="Simplified Arabic" w:cs="Simplified Arabic"/>
          <w:color w:val="000000"/>
          <w:sz w:val="16"/>
          <w:szCs w:val="16"/>
          <w:rtl/>
          <w:lang w:eastAsia="en-US"/>
        </w:rPr>
      </w:pPr>
    </w:p>
    <w:p w:rsidR="00A54A27" w:rsidRPr="00E92380" w:rsidRDefault="006E587D" w:rsidP="00720C28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r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حركة</w:t>
      </w:r>
      <w:r w:rsidR="00E0145F"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أسعار</w:t>
      </w:r>
      <w:r w:rsidR="00E0145F"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المنتج</w:t>
      </w:r>
      <w:r w:rsidR="00E0145F"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ضمن</w:t>
      </w:r>
      <w:r w:rsidR="00E0145F"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الأنشطة</w:t>
      </w:r>
      <w:r w:rsidR="00E0145F"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الرئيسية</w:t>
      </w:r>
      <w:r w:rsidR="00E0145F" w:rsidRPr="00E92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4758F4"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خلال</w:t>
      </w:r>
      <w:r w:rsidR="00E0145F"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4758F4"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شهر</w:t>
      </w:r>
      <w:r w:rsidR="00E0145F"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727C49"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كانون الأول</w:t>
      </w:r>
      <w:r w:rsidR="00E0145F"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CD56AC" w:rsidRPr="00E92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2024</w:t>
      </w:r>
    </w:p>
    <w:p w:rsidR="00013A2D" w:rsidRPr="00E92380" w:rsidRDefault="00D95F69" w:rsidP="00013A2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92380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E0145F" w:rsidRPr="00E923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E0145F" w:rsidRPr="00E923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sz w:val="26"/>
          <w:szCs w:val="26"/>
          <w:rtl/>
        </w:rPr>
        <w:t>السلع</w:t>
      </w:r>
      <w:r w:rsidR="00E0145F" w:rsidRPr="00E923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sz w:val="26"/>
          <w:szCs w:val="26"/>
          <w:rtl/>
        </w:rPr>
        <w:t>المنتجة</w:t>
      </w:r>
      <w:r w:rsidR="00E0145F" w:rsidRPr="00E923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sz w:val="26"/>
          <w:szCs w:val="26"/>
          <w:rtl/>
        </w:rPr>
        <w:t>من</w:t>
      </w:r>
      <w:r w:rsidR="00E0145F" w:rsidRPr="00E923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نشاط</w:t>
      </w:r>
      <w:r w:rsidR="00E0145F" w:rsidRPr="00E923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الزراعة</w:t>
      </w:r>
      <w:r w:rsidR="00E0145F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والحراجة</w:t>
      </w:r>
      <w:r w:rsidR="00E0145F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وصيد</w:t>
      </w:r>
      <w:r w:rsidR="00E0145F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الأسماك</w:t>
      </w:r>
      <w:r w:rsidR="00857F0F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،</w:t>
      </w:r>
      <w:r w:rsidR="00E0145F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857F0F" w:rsidRPr="00E92380">
        <w:rPr>
          <w:rFonts w:ascii="Simplified Arabic" w:hAnsi="Simplified Arabic" w:cs="Simplified Arabic"/>
          <w:sz w:val="26"/>
          <w:szCs w:val="26"/>
          <w:rtl/>
        </w:rPr>
        <w:t xml:space="preserve">التي تشكل أهميتها النسبية </w:t>
      </w:r>
      <w:r w:rsidR="00857F0F" w:rsidRPr="00E92380">
        <w:rPr>
          <w:rFonts w:ascii="Simplified Arabic" w:hAnsi="Simplified Arabic" w:cs="Simplified Arabic" w:hint="cs"/>
          <w:sz w:val="26"/>
          <w:szCs w:val="26"/>
          <w:rtl/>
        </w:rPr>
        <w:t>29</w:t>
      </w:r>
      <w:r w:rsidR="00857F0F" w:rsidRPr="00E92380">
        <w:rPr>
          <w:rFonts w:ascii="Simplified Arabic" w:hAnsi="Simplified Arabic" w:cs="Simplified Arabic"/>
          <w:sz w:val="26"/>
          <w:szCs w:val="26"/>
          <w:rtl/>
        </w:rPr>
        <w:t>.</w:t>
      </w:r>
      <w:r w:rsidR="00857F0F" w:rsidRPr="00E92380">
        <w:rPr>
          <w:rFonts w:ascii="Simplified Arabic" w:hAnsi="Simplified Arabic" w:cs="Simplified Arabic" w:hint="cs"/>
          <w:sz w:val="26"/>
          <w:szCs w:val="26"/>
          <w:rtl/>
        </w:rPr>
        <w:t>94</w:t>
      </w:r>
      <w:r w:rsidR="00857F0F" w:rsidRPr="00E92380">
        <w:rPr>
          <w:rFonts w:ascii="Simplified Arabic" w:hAnsi="Simplified Arabic" w:cs="Simplified Arabic"/>
          <w:sz w:val="26"/>
          <w:szCs w:val="26"/>
          <w:rtl/>
        </w:rPr>
        <w:t>% من سلة المنتج</w:t>
      </w:r>
      <w:r w:rsidR="00857F0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702CD7" w:rsidRPr="00E92380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64C3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حاداً </w:t>
      </w:r>
      <w:r w:rsidR="00702CD7" w:rsidRPr="00E92380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="00E0145F" w:rsidRPr="00E923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64C3F" w:rsidRPr="00E92380">
        <w:rPr>
          <w:rFonts w:ascii="Simplified Arabic" w:hAnsi="Simplified Arabic" w:cs="Simplified Arabic" w:hint="cs"/>
          <w:sz w:val="26"/>
          <w:szCs w:val="26"/>
          <w:rtl/>
        </w:rPr>
        <w:t>10</w:t>
      </w:r>
      <w:r w:rsidR="008B33FD" w:rsidRPr="00E9238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E64C3F" w:rsidRPr="00E92380">
        <w:rPr>
          <w:rFonts w:ascii="Simplified Arabic" w:hAnsi="Simplified Arabic" w:cs="Simplified Arabic" w:hint="cs"/>
          <w:sz w:val="26"/>
          <w:szCs w:val="26"/>
          <w:rtl/>
        </w:rPr>
        <w:t>62</w:t>
      </w:r>
      <w:r w:rsidRPr="00E92380">
        <w:rPr>
          <w:rFonts w:ascii="Simplified Arabic" w:hAnsi="Simplified Arabic" w:cs="Simplified Arabic"/>
          <w:sz w:val="26"/>
          <w:szCs w:val="26"/>
          <w:rtl/>
        </w:rPr>
        <w:t>%،</w:t>
      </w:r>
      <w:r w:rsidR="00E0145F" w:rsidRPr="00E923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sz w:val="26"/>
          <w:szCs w:val="26"/>
          <w:rtl/>
        </w:rPr>
        <w:t>وذلك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>نتيجة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02CD7" w:rsidRPr="00E92380">
        <w:rPr>
          <w:rFonts w:ascii="Simplified Arabic" w:hAnsi="Simplified Arabic" w:cs="Simplified Arabic" w:hint="cs"/>
          <w:sz w:val="26"/>
          <w:szCs w:val="26"/>
          <w:rtl/>
        </w:rPr>
        <w:t>للانخفاض</w:t>
      </w:r>
      <w:r w:rsidR="00E64C3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الحاد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A038B" w:rsidRPr="00E92380">
        <w:rPr>
          <w:rFonts w:ascii="Simplified Arabic" w:hAnsi="Simplified Arabic" w:cs="Simplified Arabic" w:hint="cs"/>
          <w:sz w:val="26"/>
          <w:szCs w:val="26"/>
          <w:rtl/>
        </w:rPr>
        <w:t>في</w:t>
      </w:r>
      <w:r w:rsidR="00E64C3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أسعار السلع ضمن </w:t>
      </w:r>
      <w:r w:rsidR="00E64C3F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زراعة المحاصيل غير الدائمة</w:t>
      </w:r>
      <w:r w:rsidR="00E64C3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بمقدار 13.82%، حيث بلغ متوسط سعر كل من البندور</w:t>
      </w:r>
      <w:r w:rsidR="00E64C3F" w:rsidRPr="00E92380">
        <w:rPr>
          <w:rFonts w:ascii="Simplified Arabic" w:hAnsi="Simplified Arabic" w:cs="Simplified Arabic" w:hint="eastAsia"/>
          <w:sz w:val="26"/>
          <w:szCs w:val="26"/>
          <w:rtl/>
        </w:rPr>
        <w:t>ة</w:t>
      </w:r>
      <w:r w:rsidR="00E64C3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بيوت بلاستيكية 10.75 شيكل/كغم، </w:t>
      </w:r>
      <w:r w:rsidR="000028AD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     </w:t>
      </w:r>
      <w:r w:rsidR="00E64C3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والزهرة 4.77 شيكل/كغم، والملفوف الأبيض 6.15 شيكل/كغم، والسبانخ 2.79 شيكل/كغم، والبقدونس 10.60 شيكل/كغم، والبصل الجاف 7.75 شيكل/كغم، والبطاطا </w:t>
      </w:r>
      <w:r w:rsidR="00CF10F2" w:rsidRPr="00E92380">
        <w:rPr>
          <w:rFonts w:ascii="Simplified Arabic" w:hAnsi="Simplified Arabic" w:cs="Simplified Arabic" w:hint="cs"/>
          <w:sz w:val="26"/>
          <w:szCs w:val="26"/>
          <w:rtl/>
        </w:rPr>
        <w:t>8</w:t>
      </w:r>
      <w:r w:rsidR="00E64C3F" w:rsidRPr="00E9238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CF10F2" w:rsidRPr="00E92380">
        <w:rPr>
          <w:rFonts w:ascii="Simplified Arabic" w:hAnsi="Simplified Arabic" w:cs="Simplified Arabic" w:hint="cs"/>
          <w:sz w:val="26"/>
          <w:szCs w:val="26"/>
          <w:rtl/>
        </w:rPr>
        <w:t>16</w:t>
      </w:r>
      <w:r w:rsidR="00E64C3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شيكل/كغم، </w:t>
      </w:r>
      <w:r w:rsidR="00CF10F2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على الرغم من ارتفاع سعر كل من الخيار بيوت بلاستيكية 6.51 شيكل/كغم، والكوسا 9.07 شيكل/كغم، </w:t>
      </w:r>
      <w:r w:rsidR="00E64C3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الباذنجان العجمي </w:t>
      </w:r>
      <w:r w:rsidR="00CF10F2" w:rsidRPr="00E92380">
        <w:rPr>
          <w:rFonts w:ascii="Simplified Arabic" w:hAnsi="Simplified Arabic" w:cs="Simplified Arabic" w:hint="cs"/>
          <w:sz w:val="26"/>
          <w:szCs w:val="26"/>
          <w:rtl/>
        </w:rPr>
        <w:t>11</w:t>
      </w:r>
      <w:r w:rsidR="00E64C3F" w:rsidRPr="00E9238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CF10F2" w:rsidRPr="00E92380">
        <w:rPr>
          <w:rFonts w:ascii="Simplified Arabic" w:hAnsi="Simplified Arabic" w:cs="Simplified Arabic" w:hint="cs"/>
          <w:sz w:val="26"/>
          <w:szCs w:val="26"/>
          <w:rtl/>
        </w:rPr>
        <w:t>11</w:t>
      </w:r>
      <w:r w:rsidR="00E64C3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شيكل/كغم، والفلفل </w:t>
      </w:r>
      <w:r w:rsidR="00013A2D" w:rsidRPr="00E92380">
        <w:rPr>
          <w:rFonts w:ascii="Simplified Arabic" w:hAnsi="Simplified Arabic" w:cs="Simplified Arabic" w:hint="cs"/>
          <w:sz w:val="26"/>
          <w:szCs w:val="26"/>
          <w:rtl/>
        </w:rPr>
        <w:t>الحار</w:t>
      </w:r>
      <w:r w:rsidR="00E64C3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13A2D" w:rsidRPr="00E92380">
        <w:rPr>
          <w:rFonts w:ascii="Simplified Arabic" w:hAnsi="Simplified Arabic" w:cs="Simplified Arabic" w:hint="cs"/>
          <w:sz w:val="26"/>
          <w:szCs w:val="26"/>
          <w:rtl/>
        </w:rPr>
        <w:t>30</w:t>
      </w:r>
      <w:r w:rsidR="00E64C3F" w:rsidRPr="00E9238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13A2D" w:rsidRPr="00E92380">
        <w:rPr>
          <w:rFonts w:ascii="Simplified Arabic" w:hAnsi="Simplified Arabic" w:cs="Simplified Arabic" w:hint="cs"/>
          <w:sz w:val="26"/>
          <w:szCs w:val="26"/>
          <w:rtl/>
        </w:rPr>
        <w:t>92</w:t>
      </w:r>
      <w:r w:rsidR="00E64C3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شيكل/كغم، </w:t>
      </w:r>
      <w:r w:rsidR="00013A2D" w:rsidRPr="00E92380">
        <w:rPr>
          <w:rFonts w:ascii="Simplified Arabic" w:hAnsi="Simplified Arabic" w:cs="Simplified Arabic" w:hint="cs"/>
          <w:sz w:val="26"/>
          <w:szCs w:val="26"/>
          <w:rtl/>
        </w:rPr>
        <w:t>والفاصولياء الخضراء العريضة 11.63 شيكل/كغم.</w:t>
      </w:r>
    </w:p>
    <w:p w:rsidR="00013A2D" w:rsidRPr="00E92380" w:rsidRDefault="00013A2D" w:rsidP="00013A2D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013A2D" w:rsidRPr="00E92380" w:rsidRDefault="00013A2D" w:rsidP="00013A2D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السلع ضمن </w:t>
      </w:r>
      <w:r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نشاط زراعة المحاصيل الدائمة المعمرة 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>انخفاضاً حاداً مقداره</w:t>
      </w:r>
      <w:r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sz w:val="26"/>
          <w:szCs w:val="26"/>
          <w:lang w:val="en-US"/>
        </w:rPr>
        <w:t>9.61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>%، حيث بلغ متوسط سعر</w:t>
      </w:r>
      <w:r w:rsidR="000028AD">
        <w:rPr>
          <w:rFonts w:ascii="Simplified Arabic" w:hAnsi="Simplified Arabic" w:cs="Simplified Arabic" w:hint="cs"/>
          <w:sz w:val="26"/>
          <w:szCs w:val="26"/>
          <w:rtl/>
        </w:rPr>
        <w:t xml:space="preserve">     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كل من الأفوكادو 1.61 شيكل/كغم، والبرتقال 11.02 شيكل/كغم، والليمون 14.58 شيكل/كغم، </w:t>
      </w:r>
      <w:r w:rsidR="00366130" w:rsidRPr="00E92380">
        <w:rPr>
          <w:rFonts w:ascii="Simplified Arabic" w:hAnsi="Simplified Arabic" w:cs="Simplified Arabic" w:hint="cs"/>
          <w:sz w:val="26"/>
          <w:szCs w:val="26"/>
          <w:rtl/>
        </w:rPr>
        <w:t>والبوملي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6.11 شيكل/كغم، والجوافة حبة وسط 5.87 شيكل/كغم، والزعتر الأخضر 14.12 شيكل/كغم.</w:t>
      </w:r>
    </w:p>
    <w:p w:rsidR="00013A2D" w:rsidRPr="00E92380" w:rsidRDefault="00013A2D" w:rsidP="00013A2D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AA1E41" w:rsidRPr="00E92380" w:rsidRDefault="00A93DD2" w:rsidP="00A93DD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كما سجلت </w:t>
      </w:r>
      <w:r w:rsidR="00AA1E41" w:rsidRPr="00E92380">
        <w:rPr>
          <w:rFonts w:ascii="Simplified Arabic" w:hAnsi="Simplified Arabic" w:cs="Simplified Arabic" w:hint="cs"/>
          <w:sz w:val="26"/>
          <w:szCs w:val="26"/>
          <w:rtl/>
        </w:rPr>
        <w:t>أسعار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E92380">
        <w:rPr>
          <w:rFonts w:ascii="Simplified Arabic" w:hAnsi="Simplified Arabic" w:cs="Simplified Arabic" w:hint="cs"/>
          <w:sz w:val="26"/>
          <w:szCs w:val="26"/>
          <w:rtl/>
        </w:rPr>
        <w:t>السلع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E92380">
        <w:rPr>
          <w:rFonts w:ascii="Simplified Arabic" w:hAnsi="Simplified Arabic" w:cs="Simplified Arabic" w:hint="cs"/>
          <w:sz w:val="26"/>
          <w:szCs w:val="26"/>
          <w:rtl/>
        </w:rPr>
        <w:t>ضمن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</w:t>
      </w:r>
      <w:r w:rsidR="00E0145F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AA1E41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الإنتاج</w:t>
      </w:r>
      <w:r w:rsidR="00E0145F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AA1E41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الحيواني</w:t>
      </w:r>
      <w:r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="00E0145F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AA1E41" w:rsidRPr="00E9238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>84</w:t>
      </w:r>
      <w:r w:rsidR="00AA1E41" w:rsidRPr="00E92380">
        <w:rPr>
          <w:rFonts w:ascii="Simplified Arabic" w:hAnsi="Simplified Arabic" w:cs="Simplified Arabic" w:hint="cs"/>
          <w:sz w:val="26"/>
          <w:szCs w:val="26"/>
          <w:rtl/>
        </w:rPr>
        <w:t>%،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E92380">
        <w:rPr>
          <w:rFonts w:ascii="Simplified Arabic" w:hAnsi="Simplified Arabic" w:cs="Simplified Arabic" w:hint="cs"/>
          <w:sz w:val="26"/>
          <w:szCs w:val="26"/>
          <w:rtl/>
        </w:rPr>
        <w:t>حيث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E92380">
        <w:rPr>
          <w:rFonts w:ascii="Simplified Arabic" w:hAnsi="Simplified Arabic" w:cs="Simplified Arabic" w:hint="cs"/>
          <w:sz w:val="26"/>
          <w:szCs w:val="26"/>
          <w:rtl/>
        </w:rPr>
        <w:t>بلغ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E92380">
        <w:rPr>
          <w:rFonts w:ascii="Simplified Arabic" w:hAnsi="Simplified Arabic" w:cs="Simplified Arabic" w:hint="cs"/>
          <w:sz w:val="26"/>
          <w:szCs w:val="26"/>
          <w:rtl/>
        </w:rPr>
        <w:t>متوسط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E92380">
        <w:rPr>
          <w:rFonts w:ascii="Simplified Arabic" w:hAnsi="Simplified Arabic" w:cs="Simplified Arabic" w:hint="cs"/>
          <w:sz w:val="26"/>
          <w:szCs w:val="26"/>
          <w:rtl/>
        </w:rPr>
        <w:t>سعر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العجل البلدي الحي 21.55 شيكل/كغم، </w:t>
      </w:r>
      <w:r w:rsidR="00AA1E41" w:rsidRPr="00E92380">
        <w:rPr>
          <w:rFonts w:ascii="Simplified Arabic" w:hAnsi="Simplified Arabic" w:cs="Simplified Arabic" w:hint="cs"/>
          <w:sz w:val="26"/>
          <w:szCs w:val="26"/>
          <w:rtl/>
        </w:rPr>
        <w:t>ودجاج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E92380">
        <w:rPr>
          <w:rFonts w:ascii="Simplified Arabic" w:hAnsi="Simplified Arabic" w:cs="Simplified Arabic" w:hint="cs"/>
          <w:sz w:val="26"/>
          <w:szCs w:val="26"/>
          <w:rtl/>
        </w:rPr>
        <w:t>لاحم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E92380">
        <w:rPr>
          <w:rFonts w:ascii="Simplified Arabic" w:hAnsi="Simplified Arabic" w:cs="Simplified Arabic" w:hint="cs"/>
          <w:sz w:val="26"/>
          <w:szCs w:val="26"/>
          <w:rtl/>
        </w:rPr>
        <w:t>صوص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E92380">
        <w:rPr>
          <w:rFonts w:ascii="Simplified Arabic" w:hAnsi="Simplified Arabic" w:cs="Simplified Arabic" w:hint="cs"/>
          <w:sz w:val="26"/>
          <w:szCs w:val="26"/>
          <w:rtl/>
        </w:rPr>
        <w:t>عمر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E92380">
        <w:rPr>
          <w:rFonts w:ascii="Simplified Arabic" w:hAnsi="Simplified Arabic" w:cs="Simplified Arabic" w:hint="cs"/>
          <w:sz w:val="26"/>
          <w:szCs w:val="26"/>
          <w:rtl/>
        </w:rPr>
        <w:t>يوم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E92380">
        <w:rPr>
          <w:rFonts w:ascii="Simplified Arabic" w:hAnsi="Simplified Arabic" w:cs="Simplified Arabic" w:hint="cs"/>
          <w:sz w:val="26"/>
          <w:szCs w:val="26"/>
          <w:rtl/>
        </w:rPr>
        <w:t>3.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>83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7F0F" w:rsidRPr="00E92380">
        <w:rPr>
          <w:rFonts w:ascii="Simplified Arabic" w:hAnsi="Simplified Arabic" w:cs="Simplified Arabic" w:hint="cs"/>
          <w:sz w:val="26"/>
          <w:szCs w:val="26"/>
          <w:rtl/>
        </w:rPr>
        <w:t>شيكل</w:t>
      </w:r>
      <w:r w:rsidR="00AA1E41" w:rsidRPr="00E92380">
        <w:rPr>
          <w:rFonts w:ascii="Simplified Arabic" w:hAnsi="Simplified Arabic" w:cs="Simplified Arabic" w:hint="cs"/>
          <w:sz w:val="26"/>
          <w:szCs w:val="26"/>
          <w:rtl/>
        </w:rPr>
        <w:t>/صوص،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>والبيض 11.58 شيكل/</w:t>
      </w:r>
      <w:r w:rsidRPr="00E92380">
        <w:rPr>
          <w:rFonts w:ascii="Simplified Arabic" w:hAnsi="Simplified Arabic" w:cs="Simplified Arabic"/>
          <w:sz w:val="26"/>
          <w:szCs w:val="26"/>
          <w:rtl/>
        </w:rPr>
        <w:t>(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>كرتونة حجم 2كغم).</w:t>
      </w:r>
    </w:p>
    <w:p w:rsidR="00171F60" w:rsidRPr="00E92380" w:rsidRDefault="00171F60" w:rsidP="00EA4E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C6F84" w:rsidRPr="00E92380" w:rsidRDefault="00553576" w:rsidP="00DC6F8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Pr="00E92380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>مجموعة</w:t>
      </w:r>
      <w:r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الكهرباء والغاز والبخار وتكييف الهواء</w:t>
      </w:r>
      <w:r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،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sz w:val="26"/>
          <w:szCs w:val="26"/>
          <w:rtl/>
        </w:rPr>
        <w:t>التي تشكل أهميتها النسبية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8.23% من سلة المنتج، انخفاضاً مقداره 3.11% خلا</w:t>
      </w:r>
      <w:r w:rsidR="00FC431F" w:rsidRPr="00E92380">
        <w:rPr>
          <w:rFonts w:ascii="Simplified Arabic" w:hAnsi="Simplified Arabic" w:cs="Simplified Arabic" w:hint="cs"/>
          <w:sz w:val="26"/>
          <w:szCs w:val="26"/>
          <w:rtl/>
        </w:rPr>
        <w:t>ل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شهر كانون الأول</w:t>
      </w:r>
      <w:r w:rsidR="00D6382A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2024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مقارنة بالشهر السابق.</w:t>
      </w:r>
    </w:p>
    <w:p w:rsidR="00553576" w:rsidRPr="00E92380" w:rsidRDefault="00553576" w:rsidP="00DC6F8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25949" w:rsidRPr="00E92380" w:rsidRDefault="00553576" w:rsidP="0040482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92380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B25949" w:rsidRPr="00E92380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25949" w:rsidRPr="00E92380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E0145F" w:rsidRPr="00E923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25949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</w:t>
      </w:r>
      <w:r w:rsidR="00E0145F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B25949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المياه</w:t>
      </w:r>
      <w:r w:rsidR="00E0145F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B25949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وأنشطة</w:t>
      </w:r>
      <w:r w:rsidR="00E0145F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B25949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الصرف</w:t>
      </w:r>
      <w:r w:rsidR="00E0145F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B25949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الصحي</w:t>
      </w:r>
      <w:r w:rsidR="00E0145F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B25949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وإدارة</w:t>
      </w:r>
      <w:r w:rsidR="00E0145F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B25949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النفايات</w:t>
      </w:r>
      <w:r w:rsidR="00E0145F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B25949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ومعالجتها</w:t>
      </w:r>
      <w:r w:rsidR="00CE730B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،</w:t>
      </w:r>
      <w:r w:rsidR="00E0145F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CE730B" w:rsidRPr="00E92380">
        <w:rPr>
          <w:rFonts w:ascii="Simplified Arabic" w:hAnsi="Simplified Arabic" w:cs="Simplified Arabic"/>
          <w:sz w:val="26"/>
          <w:szCs w:val="26"/>
          <w:rtl/>
        </w:rPr>
        <w:t xml:space="preserve">التي تشكل أهميتها النسبية </w:t>
      </w:r>
      <w:r w:rsidR="00CE730B" w:rsidRPr="00E92380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CE730B" w:rsidRPr="00E92380">
        <w:rPr>
          <w:rFonts w:ascii="Simplified Arabic" w:hAnsi="Simplified Arabic" w:cs="Simplified Arabic"/>
          <w:sz w:val="26"/>
          <w:szCs w:val="26"/>
          <w:rtl/>
        </w:rPr>
        <w:t>.</w:t>
      </w:r>
      <w:r w:rsidR="00CE730B" w:rsidRPr="00E92380">
        <w:rPr>
          <w:rFonts w:ascii="Simplified Arabic" w:hAnsi="Simplified Arabic" w:cs="Simplified Arabic" w:hint="cs"/>
          <w:sz w:val="26"/>
          <w:szCs w:val="26"/>
          <w:rtl/>
        </w:rPr>
        <w:t>50</w:t>
      </w:r>
      <w:r w:rsidR="00CE730B" w:rsidRPr="00E92380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0028AD">
        <w:rPr>
          <w:rFonts w:ascii="Simplified Arabic" w:hAnsi="Simplified Arabic" w:cs="Simplified Arabic" w:hint="cs"/>
          <w:sz w:val="26"/>
          <w:szCs w:val="26"/>
          <w:rtl/>
        </w:rPr>
        <w:t xml:space="preserve">     </w:t>
      </w:r>
      <w:r w:rsidR="00CE730B" w:rsidRPr="00E92380">
        <w:rPr>
          <w:rFonts w:ascii="Simplified Arabic" w:hAnsi="Simplified Arabic" w:cs="Simplified Arabic"/>
          <w:sz w:val="26"/>
          <w:szCs w:val="26"/>
          <w:rtl/>
        </w:rPr>
        <w:t>من سلة المنتج</w:t>
      </w:r>
      <w:r w:rsidR="00CE730B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532639" w:rsidRPr="00E92380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32639" w:rsidRPr="00E92380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0482C" w:rsidRPr="00E92380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B25949" w:rsidRPr="00E9238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40482C" w:rsidRPr="00E92380">
        <w:rPr>
          <w:rFonts w:ascii="Simplified Arabic" w:hAnsi="Simplified Arabic" w:cs="Simplified Arabic" w:hint="cs"/>
          <w:sz w:val="26"/>
          <w:szCs w:val="26"/>
          <w:rtl/>
        </w:rPr>
        <w:t>46</w:t>
      </w:r>
      <w:r w:rsidR="00B25949" w:rsidRPr="00E92380">
        <w:rPr>
          <w:rFonts w:ascii="Simplified Arabic" w:hAnsi="Simplified Arabic" w:cs="Simplified Arabic" w:hint="cs"/>
          <w:sz w:val="26"/>
          <w:szCs w:val="26"/>
          <w:rtl/>
        </w:rPr>
        <w:t>%.</w:t>
      </w:r>
    </w:p>
    <w:p w:rsidR="00B25949" w:rsidRPr="00E92380" w:rsidRDefault="00B25949" w:rsidP="00B25949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32639" w:rsidRPr="00E92380" w:rsidRDefault="00553576" w:rsidP="001C3EB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في حين سجلت </w:t>
      </w:r>
      <w:r w:rsidR="00532639" w:rsidRPr="00E92380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E0145F" w:rsidRPr="00E923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32639" w:rsidRPr="00E92380">
        <w:rPr>
          <w:rFonts w:ascii="Simplified Arabic" w:hAnsi="Simplified Arabic" w:cs="Simplified Arabic"/>
          <w:sz w:val="26"/>
          <w:szCs w:val="26"/>
          <w:rtl/>
        </w:rPr>
        <w:t>منتجات</w:t>
      </w:r>
      <w:r w:rsidR="00E0145F" w:rsidRPr="00E923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32639" w:rsidRPr="00E92380">
        <w:rPr>
          <w:rFonts w:ascii="Simplified Arabic" w:hAnsi="Simplified Arabic" w:cs="Simplified Arabic"/>
          <w:sz w:val="26"/>
          <w:szCs w:val="26"/>
          <w:rtl/>
        </w:rPr>
        <w:t>صناعة</w:t>
      </w:r>
      <w:r w:rsidR="00E0145F" w:rsidRPr="00E923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32639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التعدين</w:t>
      </w:r>
      <w:r w:rsidR="00E0145F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532639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واستغلال</w:t>
      </w:r>
      <w:r w:rsidR="00E0145F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532639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المحاجر</w:t>
      </w:r>
      <w:r w:rsidR="00CE730B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،</w:t>
      </w:r>
      <w:r w:rsidR="00E0145F" w:rsidRPr="00E923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32639" w:rsidRPr="00E92380">
        <w:rPr>
          <w:rFonts w:ascii="Simplified Arabic" w:hAnsi="Simplified Arabic" w:cs="Simplified Arabic"/>
          <w:sz w:val="26"/>
          <w:szCs w:val="26"/>
          <w:rtl/>
        </w:rPr>
        <w:t>التي</w:t>
      </w:r>
      <w:r w:rsidR="00E0145F" w:rsidRPr="00E923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32639" w:rsidRPr="00E92380">
        <w:rPr>
          <w:rFonts w:ascii="Simplified Arabic" w:hAnsi="Simplified Arabic" w:cs="Simplified Arabic"/>
          <w:sz w:val="26"/>
          <w:szCs w:val="26"/>
          <w:rtl/>
        </w:rPr>
        <w:t>تشكل</w:t>
      </w:r>
      <w:r w:rsidR="00E0145F" w:rsidRPr="00E923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32639" w:rsidRPr="00E92380">
        <w:rPr>
          <w:rFonts w:ascii="Simplified Arabic" w:hAnsi="Simplified Arabic" w:cs="Simplified Arabic"/>
          <w:sz w:val="26"/>
          <w:szCs w:val="26"/>
          <w:rtl/>
        </w:rPr>
        <w:t>أهميتها</w:t>
      </w:r>
      <w:r w:rsidR="00E0145F" w:rsidRPr="00E923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32639" w:rsidRPr="00E92380">
        <w:rPr>
          <w:rFonts w:ascii="Simplified Arabic" w:hAnsi="Simplified Arabic" w:cs="Simplified Arabic"/>
          <w:sz w:val="26"/>
          <w:szCs w:val="26"/>
          <w:rtl/>
        </w:rPr>
        <w:t>النسبية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32639" w:rsidRPr="00E92380">
        <w:rPr>
          <w:rFonts w:ascii="Simplified Arabic" w:hAnsi="Simplified Arabic" w:cs="Simplified Arabic" w:hint="cs"/>
          <w:sz w:val="26"/>
          <w:szCs w:val="26"/>
          <w:rtl/>
        </w:rPr>
        <w:t>1.41%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32639" w:rsidRPr="00E92380">
        <w:rPr>
          <w:rFonts w:ascii="Simplified Arabic" w:hAnsi="Simplified Arabic" w:cs="Simplified Arabic" w:hint="cs"/>
          <w:sz w:val="26"/>
          <w:szCs w:val="26"/>
          <w:rtl/>
        </w:rPr>
        <w:t>من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32639" w:rsidRPr="00E92380">
        <w:rPr>
          <w:rFonts w:ascii="Simplified Arabic" w:hAnsi="Simplified Arabic" w:cs="Simplified Arabic" w:hint="cs"/>
          <w:sz w:val="26"/>
          <w:szCs w:val="26"/>
          <w:rtl/>
        </w:rPr>
        <w:t>سلة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32639" w:rsidRPr="00E92380">
        <w:rPr>
          <w:rFonts w:ascii="Simplified Arabic" w:hAnsi="Simplified Arabic" w:cs="Simplified Arabic" w:hint="cs"/>
          <w:sz w:val="26"/>
          <w:szCs w:val="26"/>
          <w:rtl/>
        </w:rPr>
        <w:t>المنتج</w:t>
      </w:r>
      <w:r w:rsidR="00CE730B" w:rsidRPr="00E92380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32639" w:rsidRPr="00E92380">
        <w:rPr>
          <w:rFonts w:ascii="Simplified Arabic" w:hAnsi="Simplified Arabic" w:cs="Simplified Arabic" w:hint="cs"/>
          <w:sz w:val="26"/>
          <w:szCs w:val="26"/>
          <w:rtl/>
        </w:rPr>
        <w:t>استقراراً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32639" w:rsidRPr="00E92380">
        <w:rPr>
          <w:rFonts w:ascii="Simplified Arabic" w:hAnsi="Simplified Arabic" w:cs="Simplified Arabic" w:hint="cs"/>
          <w:sz w:val="26"/>
          <w:szCs w:val="26"/>
          <w:rtl/>
        </w:rPr>
        <w:t>خلال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32639" w:rsidRPr="00E92380">
        <w:rPr>
          <w:rFonts w:ascii="Simplified Arabic" w:hAnsi="Simplified Arabic" w:cs="Simplified Arabic" w:hint="cs"/>
          <w:sz w:val="26"/>
          <w:szCs w:val="26"/>
          <w:rtl/>
        </w:rPr>
        <w:t>شهر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27C49" w:rsidRPr="00E92380">
        <w:rPr>
          <w:rFonts w:ascii="Simplified Arabic" w:hAnsi="Simplified Arabic" w:cs="Simplified Arabic" w:hint="cs"/>
          <w:sz w:val="26"/>
          <w:szCs w:val="26"/>
          <w:rtl/>
        </w:rPr>
        <w:t>كانون الأول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C3EB7" w:rsidRPr="00E92380">
        <w:rPr>
          <w:rFonts w:ascii="Simplified Arabic" w:hAnsi="Simplified Arabic" w:cs="Simplified Arabic" w:hint="cs"/>
          <w:sz w:val="26"/>
          <w:szCs w:val="26"/>
          <w:rtl/>
        </w:rPr>
        <w:t>2024</w:t>
      </w:r>
      <w:r w:rsidR="00532639" w:rsidRPr="00E92380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532639" w:rsidRPr="00E92380" w:rsidRDefault="00532639" w:rsidP="00532639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720C28" w:rsidRPr="00E92380" w:rsidRDefault="00720C28" w:rsidP="009A26A9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92380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E0145F" w:rsidRPr="00E923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E0145F" w:rsidRPr="00E923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sz w:val="26"/>
          <w:szCs w:val="26"/>
          <w:rtl/>
        </w:rPr>
        <w:t>السلع</w:t>
      </w:r>
      <w:r w:rsidR="00E0145F" w:rsidRPr="00E923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sz w:val="26"/>
          <w:szCs w:val="26"/>
          <w:rtl/>
        </w:rPr>
        <w:t>المنتجة</w:t>
      </w:r>
      <w:r w:rsidR="00E0145F" w:rsidRPr="00E923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sz w:val="26"/>
          <w:szCs w:val="26"/>
          <w:rtl/>
        </w:rPr>
        <w:t>من</w:t>
      </w:r>
      <w:r w:rsidR="00E0145F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أنشطة</w:t>
      </w:r>
      <w:r w:rsidR="00E0145F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الصناعات</w:t>
      </w:r>
      <w:r w:rsidR="00E0145F"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b/>
          <w:bCs/>
          <w:sz w:val="26"/>
          <w:szCs w:val="26"/>
          <w:rtl/>
        </w:rPr>
        <w:t>التحويلية</w:t>
      </w:r>
      <w:r w:rsidR="00CE730B" w:rsidRPr="00E923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،</w:t>
      </w:r>
      <w:r w:rsidR="00E0145F" w:rsidRPr="00E923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730B" w:rsidRPr="00E92380">
        <w:rPr>
          <w:rFonts w:ascii="Simplified Arabic" w:hAnsi="Simplified Arabic" w:cs="Simplified Arabic"/>
          <w:sz w:val="26"/>
          <w:szCs w:val="26"/>
          <w:rtl/>
        </w:rPr>
        <w:t xml:space="preserve">التي تشكل أهميتها النسبية </w:t>
      </w:r>
      <w:r w:rsidR="00CE730B" w:rsidRPr="00E92380">
        <w:rPr>
          <w:rFonts w:ascii="Simplified Arabic" w:hAnsi="Simplified Arabic" w:cs="Simplified Arabic" w:hint="cs"/>
          <w:sz w:val="26"/>
          <w:szCs w:val="26"/>
          <w:rtl/>
        </w:rPr>
        <w:t>58</w:t>
      </w:r>
      <w:r w:rsidR="00CE730B" w:rsidRPr="00E92380">
        <w:rPr>
          <w:rFonts w:ascii="Simplified Arabic" w:hAnsi="Simplified Arabic" w:cs="Simplified Arabic"/>
          <w:sz w:val="26"/>
          <w:szCs w:val="26"/>
          <w:rtl/>
        </w:rPr>
        <w:t>.</w:t>
      </w:r>
      <w:r w:rsidR="00CE730B" w:rsidRPr="00E92380">
        <w:rPr>
          <w:rFonts w:ascii="Simplified Arabic" w:hAnsi="Simplified Arabic" w:cs="Simplified Arabic" w:hint="cs"/>
          <w:sz w:val="26"/>
          <w:szCs w:val="26"/>
          <w:rtl/>
        </w:rPr>
        <w:t>92</w:t>
      </w:r>
      <w:r w:rsidR="00CE730B" w:rsidRPr="00E92380">
        <w:rPr>
          <w:rFonts w:ascii="Simplified Arabic" w:hAnsi="Simplified Arabic" w:cs="Simplified Arabic"/>
          <w:sz w:val="26"/>
          <w:szCs w:val="26"/>
          <w:rtl/>
        </w:rPr>
        <w:t>% من سلة المنتج</w:t>
      </w:r>
      <w:r w:rsidR="00CE730B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1C3EB7" w:rsidRPr="00E92380">
        <w:rPr>
          <w:rFonts w:ascii="Simplified Arabic" w:hAnsi="Simplified Arabic" w:cs="Simplified Arabic" w:hint="cs"/>
          <w:sz w:val="26"/>
          <w:szCs w:val="26"/>
          <w:rtl/>
        </w:rPr>
        <w:t>ارتفاعاً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C3EB7" w:rsidRPr="00E92380">
        <w:rPr>
          <w:rFonts w:ascii="Simplified Arabic" w:hAnsi="Simplified Arabic" w:cs="Simplified Arabic" w:hint="cs"/>
          <w:sz w:val="26"/>
          <w:szCs w:val="26"/>
          <w:rtl/>
        </w:rPr>
        <w:t>نسبته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Pr="00E92380">
        <w:rPr>
          <w:rFonts w:ascii="Simplified Arabic" w:hAnsi="Simplified Arabic" w:cs="Simplified Arabic"/>
          <w:sz w:val="26"/>
          <w:szCs w:val="26"/>
          <w:rtl/>
        </w:rPr>
        <w:t>.</w:t>
      </w:r>
      <w:r w:rsidR="00553576" w:rsidRPr="00E92380">
        <w:rPr>
          <w:rFonts w:ascii="Simplified Arabic" w:hAnsi="Simplified Arabic" w:cs="Simplified Arabic" w:hint="cs"/>
          <w:sz w:val="26"/>
          <w:szCs w:val="26"/>
          <w:rtl/>
        </w:rPr>
        <w:t>19</w:t>
      </w:r>
      <w:r w:rsidRPr="00E92380">
        <w:rPr>
          <w:rFonts w:ascii="Simplified Arabic" w:hAnsi="Simplified Arabic" w:cs="Simplified Arabic"/>
          <w:sz w:val="26"/>
          <w:szCs w:val="26"/>
          <w:rtl/>
        </w:rPr>
        <w:t>%،</w:t>
      </w:r>
      <w:r w:rsidR="00E0145F" w:rsidRPr="00E923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sz w:val="26"/>
          <w:szCs w:val="26"/>
          <w:rtl/>
        </w:rPr>
        <w:t>وذلك</w:t>
      </w:r>
      <w:r w:rsidR="00E0145F" w:rsidRPr="00E923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/>
          <w:sz w:val="26"/>
          <w:szCs w:val="26"/>
          <w:rtl/>
        </w:rPr>
        <w:t>بسبب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E92380">
        <w:rPr>
          <w:rFonts w:ascii="Simplified Arabic" w:hAnsi="Simplified Arabic" w:cs="Simplified Arabic" w:hint="cs"/>
          <w:sz w:val="26"/>
          <w:szCs w:val="26"/>
          <w:rtl/>
        </w:rPr>
        <w:t>ارتفاع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>أسعار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>السلع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>المنتجة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>ضمن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>الأنشطة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92380">
        <w:rPr>
          <w:rFonts w:ascii="Simplified Arabic" w:hAnsi="Simplified Arabic" w:cs="Simplified Arabic" w:hint="cs"/>
          <w:sz w:val="26"/>
          <w:szCs w:val="26"/>
          <w:rtl/>
        </w:rPr>
        <w:t>الآتية</w:t>
      </w:r>
      <w:r w:rsidR="00CE730B" w:rsidRPr="00E92380">
        <w:rPr>
          <w:rFonts w:ascii="Simplified Arabic" w:hAnsi="Simplified Arabic" w:cs="Simplified Arabic" w:hint="cs"/>
          <w:sz w:val="26"/>
          <w:szCs w:val="26"/>
          <w:rtl/>
          <w:lang w:val="en-US"/>
        </w:rPr>
        <w:t>:</w:t>
      </w:r>
      <w:r w:rsidR="00CE730B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E92380">
        <w:rPr>
          <w:rFonts w:ascii="Simplified Arabic" w:hAnsi="Simplified Arabic" w:cs="Simplified Arabic" w:hint="cs"/>
          <w:sz w:val="26"/>
          <w:szCs w:val="26"/>
          <w:rtl/>
        </w:rPr>
        <w:t>صناعة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E92380">
        <w:rPr>
          <w:rFonts w:ascii="Simplified Arabic" w:hAnsi="Simplified Arabic" w:cs="Simplified Arabic" w:hint="cs"/>
          <w:sz w:val="26"/>
          <w:szCs w:val="26"/>
          <w:rtl/>
        </w:rPr>
        <w:t>منتجات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E92380">
        <w:rPr>
          <w:rFonts w:ascii="Simplified Arabic" w:hAnsi="Simplified Arabic" w:cs="Simplified Arabic" w:hint="cs"/>
          <w:sz w:val="26"/>
          <w:szCs w:val="26"/>
          <w:rtl/>
        </w:rPr>
        <w:t>المخابز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E92380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E92380">
        <w:rPr>
          <w:rFonts w:ascii="Simplified Arabic" w:hAnsi="Simplified Arabic" w:cs="Simplified Arabic" w:hint="cs"/>
          <w:sz w:val="26"/>
          <w:szCs w:val="26"/>
          <w:rtl/>
        </w:rPr>
        <w:t>3.</w:t>
      </w:r>
      <w:r w:rsidR="003A665F" w:rsidRPr="00E92380">
        <w:rPr>
          <w:rFonts w:ascii="Simplified Arabic" w:hAnsi="Simplified Arabic" w:cs="Simplified Arabic" w:hint="cs"/>
          <w:sz w:val="26"/>
          <w:szCs w:val="26"/>
          <w:rtl/>
        </w:rPr>
        <w:t>04</w:t>
      </w:r>
      <w:r w:rsidR="005A1C33" w:rsidRPr="00E92380">
        <w:rPr>
          <w:rFonts w:ascii="Simplified Arabic" w:hAnsi="Simplified Arabic" w:cs="Simplified Arabic" w:hint="cs"/>
          <w:sz w:val="26"/>
          <w:szCs w:val="26"/>
          <w:rtl/>
        </w:rPr>
        <w:t>%،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A66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وصناعة المنتجات المعدنية الانشائية بنسبة 0.85%، وصناعة الحديد والصلب الأساسية بنسبة 0.80%، </w:t>
      </w:r>
      <w:r w:rsidR="009A26A9" w:rsidRPr="00E92380">
        <w:rPr>
          <w:rFonts w:ascii="Simplified Arabic" w:hAnsi="Simplified Arabic" w:cs="Simplified Arabic" w:hint="cs"/>
          <w:sz w:val="26"/>
          <w:szCs w:val="26"/>
          <w:rtl/>
        </w:rPr>
        <w:lastRenderedPageBreak/>
        <w:t xml:space="preserve">ونشاط تجهيز وحفظ اللحوم بنسبة 0.47%، </w:t>
      </w:r>
      <w:r w:rsidR="003A665F" w:rsidRPr="00E92380">
        <w:rPr>
          <w:rFonts w:ascii="Simplified Arabic" w:hAnsi="Simplified Arabic" w:cs="Simplified Arabic" w:hint="cs"/>
          <w:sz w:val="26"/>
          <w:szCs w:val="26"/>
          <w:rtl/>
          <w:lang w:val="en-US"/>
        </w:rPr>
        <w:t>ع</w:t>
      </w:r>
      <w:r w:rsidR="003A665F" w:rsidRPr="00E92380">
        <w:rPr>
          <w:rFonts w:ascii="Simplified Arabic" w:hAnsi="Simplified Arabic" w:cs="Simplified Arabic" w:hint="cs"/>
          <w:sz w:val="26"/>
          <w:szCs w:val="26"/>
          <w:rtl/>
        </w:rPr>
        <w:t>لى الرغم من انخفاض أسعار السلع المنتجة ضمن الأنشطة الآتية</w:t>
      </w:r>
      <w:r w:rsidR="003A665F" w:rsidRPr="00E92380">
        <w:rPr>
          <w:rFonts w:ascii="Simplified Arabic" w:hAnsi="Simplified Arabic" w:cs="Simplified Arabic" w:hint="cs"/>
          <w:sz w:val="26"/>
          <w:szCs w:val="26"/>
          <w:rtl/>
          <w:lang w:val="en-US"/>
        </w:rPr>
        <w:t>:</w:t>
      </w:r>
      <w:r w:rsidR="003A66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53576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الطباعة واستنساخ وسائط الأعلام المسجلة بمقدار 2.66%، </w:t>
      </w:r>
      <w:r w:rsidR="003A665F" w:rsidRPr="00E92380">
        <w:rPr>
          <w:rFonts w:ascii="Simplified Arabic" w:hAnsi="Simplified Arabic" w:cs="Simplified Arabic" w:hint="cs"/>
          <w:sz w:val="26"/>
          <w:szCs w:val="26"/>
          <w:rtl/>
        </w:rPr>
        <w:t>صناعة الأعلاف الحيوانية المحضرة بمقدار 1.96%، و</w:t>
      </w:r>
      <w:r w:rsidR="005A1C33" w:rsidRPr="00E92380">
        <w:rPr>
          <w:rFonts w:ascii="Simplified Arabic" w:hAnsi="Simplified Arabic" w:cs="Simplified Arabic" w:hint="cs"/>
          <w:sz w:val="26"/>
          <w:szCs w:val="26"/>
          <w:rtl/>
        </w:rPr>
        <w:t>صناعة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E92380">
        <w:rPr>
          <w:rFonts w:ascii="Simplified Arabic" w:hAnsi="Simplified Arabic" w:cs="Simplified Arabic" w:hint="cs"/>
          <w:sz w:val="26"/>
          <w:szCs w:val="26"/>
          <w:rtl/>
        </w:rPr>
        <w:t>الملابس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A665F" w:rsidRPr="00E92380">
        <w:rPr>
          <w:rFonts w:ascii="Simplified Arabic" w:hAnsi="Simplified Arabic" w:cs="Simplified Arabic" w:hint="cs"/>
          <w:sz w:val="26"/>
          <w:szCs w:val="26"/>
          <w:rtl/>
        </w:rPr>
        <w:t>بمقدار</w:t>
      </w:r>
      <w:r w:rsidR="00E0145F" w:rsidRPr="00E923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A665F" w:rsidRPr="00E92380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5A1C33" w:rsidRPr="00E9238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553576" w:rsidRPr="00E92380">
        <w:rPr>
          <w:rFonts w:ascii="Simplified Arabic" w:hAnsi="Simplified Arabic" w:cs="Simplified Arabic" w:hint="cs"/>
          <w:sz w:val="26"/>
          <w:szCs w:val="26"/>
          <w:rtl/>
        </w:rPr>
        <w:t>98%، وصناعة الزيوت والدهون ال</w:t>
      </w:r>
      <w:r w:rsidR="009A26A9" w:rsidRPr="00E92380">
        <w:rPr>
          <w:rFonts w:ascii="Simplified Arabic" w:hAnsi="Simplified Arabic" w:cs="Simplified Arabic" w:hint="cs"/>
          <w:sz w:val="26"/>
          <w:szCs w:val="26"/>
          <w:rtl/>
        </w:rPr>
        <w:t>نباتية والحيوانية بمقدار 0.68%.</w:t>
      </w:r>
    </w:p>
    <w:p w:rsidR="00E92380" w:rsidRPr="000028AD" w:rsidRDefault="00E92380" w:rsidP="003A665F">
      <w:pPr>
        <w:pStyle w:val="Header"/>
        <w:ind w:right="-180"/>
        <w:jc w:val="lowKashida"/>
        <w:rPr>
          <w:rFonts w:cs="Simplified Arabic"/>
          <w:snapToGrid/>
          <w:color w:val="000000"/>
          <w:sz w:val="16"/>
          <w:szCs w:val="16"/>
          <w:rtl/>
          <w:lang w:val="en-US" w:eastAsia="ar-SA"/>
        </w:rPr>
      </w:pPr>
    </w:p>
    <w:p w:rsidR="0070069C" w:rsidRPr="00E92380" w:rsidRDefault="0070069C" w:rsidP="003A665F">
      <w:pPr>
        <w:pStyle w:val="Header"/>
        <w:ind w:right="-180"/>
        <w:jc w:val="lowKashida"/>
        <w:rPr>
          <w:rFonts w:cs="Simplified Arabic" w:hint="cs"/>
          <w:snapToGrid/>
          <w:color w:val="000000"/>
          <w:sz w:val="26"/>
          <w:szCs w:val="26"/>
          <w:rtl/>
          <w:lang w:val="en-US" w:eastAsia="ar-SA"/>
        </w:rPr>
      </w:pPr>
      <w:r w:rsidRPr="00E92380">
        <w:rPr>
          <w:rFonts w:cs="Simplified Arabic" w:hint="cs"/>
          <w:snapToGrid/>
          <w:color w:val="000000"/>
          <w:sz w:val="26"/>
          <w:szCs w:val="26"/>
          <w:rtl/>
          <w:lang w:val="en-US" w:eastAsia="ar-SA"/>
        </w:rPr>
        <w:t xml:space="preserve">الجدول يوضح نسب التغّير الشهرية في الرقم القياسي لأسعار المنتج في فلسطين للأشهر: كانون ثاني </w:t>
      </w:r>
      <w:r w:rsidRPr="00E92380">
        <w:rPr>
          <w:rFonts w:cs="Simplified Arabic"/>
          <w:snapToGrid/>
          <w:color w:val="000000"/>
          <w:sz w:val="26"/>
          <w:szCs w:val="26"/>
          <w:rtl/>
          <w:lang w:val="en-US" w:eastAsia="ar-SA"/>
        </w:rPr>
        <w:t>–</w:t>
      </w:r>
      <w:r w:rsidRPr="00E92380">
        <w:rPr>
          <w:rFonts w:cs="Simplified Arabic" w:hint="cs"/>
          <w:snapToGrid/>
          <w:color w:val="000000"/>
          <w:sz w:val="26"/>
          <w:szCs w:val="26"/>
          <w:rtl/>
          <w:lang w:val="en-US" w:eastAsia="ar-SA"/>
        </w:rPr>
        <w:t xml:space="preserve"> كانون أول </w:t>
      </w:r>
      <w:r w:rsidR="003A665F" w:rsidRPr="00E92380">
        <w:rPr>
          <w:rFonts w:cs="Simplified Arabic" w:hint="cs"/>
          <w:snapToGrid/>
          <w:color w:val="000000"/>
          <w:sz w:val="26"/>
          <w:szCs w:val="26"/>
          <w:rtl/>
          <w:lang w:val="en-US" w:eastAsia="ar-SA"/>
        </w:rPr>
        <w:t>2024</w:t>
      </w:r>
      <w:r w:rsidRPr="00E92380">
        <w:rPr>
          <w:rFonts w:cs="Simplified Arabic" w:hint="cs"/>
          <w:snapToGrid/>
          <w:color w:val="000000"/>
          <w:sz w:val="26"/>
          <w:szCs w:val="26"/>
          <w:rtl/>
          <w:lang w:val="en-US" w:eastAsia="ar-SA"/>
        </w:rPr>
        <w:t>:</w:t>
      </w:r>
    </w:p>
    <w:p w:rsidR="0070069C" w:rsidRPr="000028AD" w:rsidRDefault="0070069C" w:rsidP="0070069C">
      <w:pPr>
        <w:pStyle w:val="Header"/>
        <w:ind w:left="-1" w:right="-180"/>
        <w:jc w:val="lowKashida"/>
        <w:rPr>
          <w:rFonts w:cs="Simplified Arabic" w:hint="cs"/>
          <w:snapToGrid/>
          <w:color w:val="000000"/>
          <w:sz w:val="6"/>
          <w:szCs w:val="6"/>
          <w:rtl/>
          <w:lang w:val="en-US" w:eastAsia="ar-SA"/>
        </w:rPr>
      </w:pPr>
    </w:p>
    <w:tbl>
      <w:tblPr>
        <w:bidiVisual/>
        <w:tblW w:w="6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1606"/>
        <w:gridCol w:w="1428"/>
        <w:gridCol w:w="1494"/>
      </w:tblGrid>
      <w:tr w:rsidR="0070069C" w:rsidRPr="000028AD" w:rsidTr="000028AD">
        <w:trPr>
          <w:trHeight w:val="504"/>
          <w:tblHeader/>
          <w:jc w:val="center"/>
        </w:trPr>
        <w:tc>
          <w:tcPr>
            <w:tcW w:w="1851" w:type="dxa"/>
            <w:vAlign w:val="center"/>
          </w:tcPr>
          <w:p w:rsidR="0070069C" w:rsidRPr="000028AD" w:rsidRDefault="0070069C" w:rsidP="004A0313">
            <w:pPr>
              <w:pStyle w:val="Header"/>
              <w:ind w:right="-180"/>
              <w:jc w:val="center"/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0028AD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الشهر</w:t>
            </w:r>
          </w:p>
        </w:tc>
        <w:tc>
          <w:tcPr>
            <w:tcW w:w="1606" w:type="dxa"/>
          </w:tcPr>
          <w:p w:rsidR="0070069C" w:rsidRPr="000028AD" w:rsidRDefault="0070069C" w:rsidP="000028AD">
            <w:pPr>
              <w:pStyle w:val="Header"/>
              <w:ind w:right="-180"/>
              <w:jc w:val="center"/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0028AD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السلع المستهلكة محلياً</w:t>
            </w:r>
          </w:p>
        </w:tc>
        <w:tc>
          <w:tcPr>
            <w:tcW w:w="1428" w:type="dxa"/>
          </w:tcPr>
          <w:p w:rsidR="0070069C" w:rsidRPr="000028AD" w:rsidRDefault="0070069C" w:rsidP="000028AD">
            <w:pPr>
              <w:pStyle w:val="Header"/>
              <w:ind w:right="-180"/>
              <w:jc w:val="center"/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0028AD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السلع المصدرة</w:t>
            </w:r>
          </w:p>
        </w:tc>
        <w:tc>
          <w:tcPr>
            <w:tcW w:w="1494" w:type="dxa"/>
          </w:tcPr>
          <w:p w:rsidR="0070069C" w:rsidRPr="000028AD" w:rsidRDefault="0070069C" w:rsidP="000028AD">
            <w:pPr>
              <w:pStyle w:val="Header"/>
              <w:ind w:right="-180"/>
              <w:jc w:val="center"/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0028AD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جميع السلع</w:t>
            </w:r>
          </w:p>
        </w:tc>
      </w:tr>
      <w:tr w:rsidR="0070069C" w:rsidRPr="000028AD" w:rsidTr="000028AD">
        <w:trPr>
          <w:trHeight w:val="266"/>
          <w:jc w:val="center"/>
        </w:trPr>
        <w:tc>
          <w:tcPr>
            <w:tcW w:w="1851" w:type="dxa"/>
            <w:vAlign w:val="center"/>
          </w:tcPr>
          <w:p w:rsidR="0070069C" w:rsidRPr="000028AD" w:rsidRDefault="0070069C" w:rsidP="004A0313">
            <w:pPr>
              <w:pStyle w:val="Header"/>
              <w:ind w:right="-180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0028AD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كانون ثاني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70069C" w:rsidRPr="000028AD" w:rsidRDefault="00DB6C09" w:rsidP="000028AD">
            <w:pPr>
              <w:bidi w:val="0"/>
              <w:jc w:val="center"/>
              <w:rPr>
                <w:color w:val="000000"/>
                <w:lang w:eastAsia="en-US"/>
              </w:rPr>
            </w:pPr>
            <w:r w:rsidRPr="000028AD">
              <w:rPr>
                <w:color w:val="000000"/>
              </w:rPr>
              <w:t>6</w:t>
            </w:r>
            <w:r w:rsidR="0070069C" w:rsidRPr="000028AD">
              <w:rPr>
                <w:color w:val="000000"/>
              </w:rPr>
              <w:t>.</w:t>
            </w:r>
            <w:r w:rsidRPr="000028AD">
              <w:rPr>
                <w:color w:val="00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70069C" w:rsidRPr="000028AD" w:rsidRDefault="0070069C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-0.</w:t>
            </w:r>
            <w:r w:rsidR="00DB6C09" w:rsidRPr="000028AD">
              <w:rPr>
                <w:color w:val="000000"/>
              </w:rPr>
              <w:t>82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70069C" w:rsidRPr="000028AD" w:rsidRDefault="00DB6C09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5</w:t>
            </w:r>
            <w:r w:rsidR="0070069C" w:rsidRPr="000028AD">
              <w:rPr>
                <w:color w:val="000000"/>
              </w:rPr>
              <w:t>.</w:t>
            </w:r>
            <w:r w:rsidRPr="000028AD">
              <w:rPr>
                <w:color w:val="000000"/>
              </w:rPr>
              <w:t>51</w:t>
            </w:r>
          </w:p>
        </w:tc>
      </w:tr>
      <w:tr w:rsidR="0070069C" w:rsidRPr="000028AD" w:rsidTr="000028AD">
        <w:trPr>
          <w:trHeight w:val="251"/>
          <w:jc w:val="center"/>
        </w:trPr>
        <w:tc>
          <w:tcPr>
            <w:tcW w:w="1851" w:type="dxa"/>
            <w:vAlign w:val="center"/>
          </w:tcPr>
          <w:p w:rsidR="0070069C" w:rsidRPr="000028AD" w:rsidRDefault="0070069C" w:rsidP="004A0313">
            <w:pPr>
              <w:pStyle w:val="Header"/>
              <w:ind w:right="-180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0028AD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شباط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70069C" w:rsidRPr="000028AD" w:rsidRDefault="00DB6C09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4</w:t>
            </w:r>
            <w:r w:rsidR="0070069C" w:rsidRPr="000028AD">
              <w:rPr>
                <w:color w:val="000000"/>
              </w:rPr>
              <w:t>.</w:t>
            </w:r>
            <w:r w:rsidRPr="000028AD">
              <w:rPr>
                <w:color w:val="00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70069C" w:rsidRPr="000028AD" w:rsidRDefault="0070069C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1.</w:t>
            </w:r>
            <w:r w:rsidR="00DB6C09" w:rsidRPr="000028AD">
              <w:rPr>
                <w:color w:val="000000"/>
              </w:rPr>
              <w:t>23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70069C" w:rsidRPr="000028AD" w:rsidRDefault="00DB6C09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3</w:t>
            </w:r>
            <w:r w:rsidR="0070069C" w:rsidRPr="000028AD">
              <w:rPr>
                <w:color w:val="000000"/>
              </w:rPr>
              <w:t>.</w:t>
            </w:r>
            <w:r w:rsidRPr="000028AD">
              <w:rPr>
                <w:color w:val="000000"/>
              </w:rPr>
              <w:t>97</w:t>
            </w:r>
          </w:p>
        </w:tc>
      </w:tr>
      <w:tr w:rsidR="0070069C" w:rsidRPr="000028AD" w:rsidTr="000028AD">
        <w:trPr>
          <w:trHeight w:val="251"/>
          <w:jc w:val="center"/>
        </w:trPr>
        <w:tc>
          <w:tcPr>
            <w:tcW w:w="1851" w:type="dxa"/>
            <w:vAlign w:val="center"/>
          </w:tcPr>
          <w:p w:rsidR="0070069C" w:rsidRPr="000028AD" w:rsidRDefault="0070069C" w:rsidP="004A0313">
            <w:pPr>
              <w:pStyle w:val="Header"/>
              <w:ind w:right="-180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0028AD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آذار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70069C" w:rsidRPr="000028AD" w:rsidRDefault="00DB6C09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5</w:t>
            </w:r>
            <w:r w:rsidR="0070069C" w:rsidRPr="000028AD">
              <w:rPr>
                <w:color w:val="000000"/>
              </w:rPr>
              <w:t>.</w:t>
            </w:r>
            <w:r w:rsidRPr="000028AD">
              <w:rPr>
                <w:color w:val="000000"/>
              </w:rPr>
              <w:t>39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70069C" w:rsidRPr="000028AD" w:rsidRDefault="0070069C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0.</w:t>
            </w:r>
            <w:r w:rsidR="00DB6C09" w:rsidRPr="000028AD">
              <w:rPr>
                <w:color w:val="000000"/>
              </w:rPr>
              <w:t>43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70069C" w:rsidRPr="000028AD" w:rsidRDefault="00DB6C09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5</w:t>
            </w:r>
            <w:r w:rsidR="0070069C" w:rsidRPr="000028AD">
              <w:rPr>
                <w:color w:val="000000"/>
              </w:rPr>
              <w:t>.</w:t>
            </w:r>
            <w:r w:rsidRPr="000028AD">
              <w:rPr>
                <w:color w:val="000000"/>
              </w:rPr>
              <w:t>00</w:t>
            </w:r>
          </w:p>
        </w:tc>
      </w:tr>
      <w:tr w:rsidR="0070069C" w:rsidRPr="000028AD" w:rsidTr="000028AD">
        <w:trPr>
          <w:trHeight w:val="251"/>
          <w:jc w:val="center"/>
        </w:trPr>
        <w:tc>
          <w:tcPr>
            <w:tcW w:w="1851" w:type="dxa"/>
            <w:vAlign w:val="center"/>
          </w:tcPr>
          <w:p w:rsidR="0070069C" w:rsidRPr="000028AD" w:rsidRDefault="0070069C" w:rsidP="004A0313">
            <w:pPr>
              <w:pStyle w:val="Header"/>
              <w:ind w:right="-180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0028AD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نيسان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70069C" w:rsidRPr="000028AD" w:rsidRDefault="0070069C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-</w:t>
            </w:r>
            <w:r w:rsidR="00DB6C09" w:rsidRPr="000028AD">
              <w:rPr>
                <w:color w:val="000000"/>
              </w:rPr>
              <w:t>5</w:t>
            </w:r>
            <w:r w:rsidRPr="000028AD">
              <w:rPr>
                <w:color w:val="000000"/>
              </w:rPr>
              <w:t>.</w:t>
            </w:r>
            <w:r w:rsidR="00DB6C09" w:rsidRPr="000028AD">
              <w:rPr>
                <w:color w:val="000000"/>
              </w:rPr>
              <w:t>36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70069C" w:rsidRPr="000028AD" w:rsidRDefault="0070069C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-</w:t>
            </w:r>
            <w:r w:rsidR="00DB6C09" w:rsidRPr="000028AD">
              <w:rPr>
                <w:color w:val="000000"/>
              </w:rPr>
              <w:t>1</w:t>
            </w:r>
            <w:r w:rsidRPr="000028AD">
              <w:rPr>
                <w:color w:val="000000"/>
              </w:rPr>
              <w:t>.</w:t>
            </w:r>
            <w:r w:rsidR="00DB6C09" w:rsidRPr="000028AD">
              <w:rPr>
                <w:color w:val="000000"/>
              </w:rPr>
              <w:t>15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70069C" w:rsidRPr="000028AD" w:rsidRDefault="0070069C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-</w:t>
            </w:r>
            <w:r w:rsidR="00DB6C09" w:rsidRPr="000028AD">
              <w:rPr>
                <w:color w:val="000000"/>
              </w:rPr>
              <w:t>5</w:t>
            </w:r>
            <w:r w:rsidRPr="000028AD">
              <w:rPr>
                <w:color w:val="000000"/>
              </w:rPr>
              <w:t>.</w:t>
            </w:r>
            <w:r w:rsidR="00DB6C09" w:rsidRPr="000028AD">
              <w:rPr>
                <w:color w:val="000000"/>
              </w:rPr>
              <w:t>04</w:t>
            </w:r>
          </w:p>
        </w:tc>
      </w:tr>
      <w:tr w:rsidR="0070069C" w:rsidRPr="000028AD" w:rsidTr="000028AD">
        <w:trPr>
          <w:trHeight w:val="251"/>
          <w:jc w:val="center"/>
        </w:trPr>
        <w:tc>
          <w:tcPr>
            <w:tcW w:w="1851" w:type="dxa"/>
            <w:vAlign w:val="center"/>
          </w:tcPr>
          <w:p w:rsidR="0070069C" w:rsidRPr="000028AD" w:rsidRDefault="0070069C" w:rsidP="004A0313">
            <w:pPr>
              <w:pStyle w:val="Header"/>
              <w:ind w:right="-180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0028AD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أيار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70069C" w:rsidRPr="000028AD" w:rsidRDefault="0070069C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-</w:t>
            </w:r>
            <w:r w:rsidR="00DB6C09" w:rsidRPr="000028AD">
              <w:rPr>
                <w:color w:val="000000"/>
              </w:rPr>
              <w:t>3</w:t>
            </w:r>
            <w:r w:rsidRPr="000028AD">
              <w:rPr>
                <w:color w:val="000000"/>
              </w:rPr>
              <w:t>.</w:t>
            </w:r>
            <w:r w:rsidR="00DB6C09" w:rsidRPr="000028AD">
              <w:rPr>
                <w:color w:val="000000"/>
              </w:rPr>
              <w:t>41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70069C" w:rsidRPr="000028AD" w:rsidRDefault="0070069C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-</w:t>
            </w:r>
            <w:r w:rsidR="00DB6C09" w:rsidRPr="000028AD">
              <w:rPr>
                <w:color w:val="000000"/>
              </w:rPr>
              <w:t>2</w:t>
            </w:r>
            <w:r w:rsidRPr="000028AD">
              <w:rPr>
                <w:color w:val="000000"/>
              </w:rPr>
              <w:t>.</w:t>
            </w:r>
            <w:r w:rsidR="00DB6C09" w:rsidRPr="000028AD">
              <w:rPr>
                <w:color w:val="000000"/>
              </w:rPr>
              <w:t>08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70069C" w:rsidRPr="000028AD" w:rsidRDefault="0070069C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-</w:t>
            </w:r>
            <w:r w:rsidR="00DB6C09" w:rsidRPr="000028AD">
              <w:rPr>
                <w:color w:val="000000"/>
              </w:rPr>
              <w:t>3</w:t>
            </w:r>
            <w:r w:rsidRPr="000028AD">
              <w:rPr>
                <w:color w:val="000000"/>
              </w:rPr>
              <w:t>.</w:t>
            </w:r>
            <w:r w:rsidR="00DB6C09" w:rsidRPr="000028AD">
              <w:rPr>
                <w:color w:val="000000"/>
              </w:rPr>
              <w:t>30</w:t>
            </w:r>
          </w:p>
        </w:tc>
      </w:tr>
      <w:tr w:rsidR="0070069C" w:rsidRPr="000028AD" w:rsidTr="000028AD">
        <w:trPr>
          <w:trHeight w:val="251"/>
          <w:jc w:val="center"/>
        </w:trPr>
        <w:tc>
          <w:tcPr>
            <w:tcW w:w="1851" w:type="dxa"/>
            <w:vAlign w:val="center"/>
          </w:tcPr>
          <w:p w:rsidR="0070069C" w:rsidRPr="000028AD" w:rsidRDefault="0070069C" w:rsidP="004A0313">
            <w:pPr>
              <w:pStyle w:val="Header"/>
              <w:ind w:right="-180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0028AD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حزيران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70069C" w:rsidRPr="000028AD" w:rsidRDefault="00DB6C09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-</w:t>
            </w:r>
            <w:r w:rsidR="00FC431F" w:rsidRPr="000028AD">
              <w:rPr>
                <w:color w:val="000000"/>
              </w:rPr>
              <w:t>0</w:t>
            </w:r>
            <w:r w:rsidR="0070069C" w:rsidRPr="000028AD">
              <w:rPr>
                <w:color w:val="000000"/>
              </w:rPr>
              <w:t>.</w:t>
            </w:r>
            <w:r w:rsidR="00FC431F" w:rsidRPr="000028AD">
              <w:rPr>
                <w:color w:val="000000"/>
              </w:rPr>
              <w:t>91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70069C" w:rsidRPr="000028AD" w:rsidRDefault="0070069C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-0.</w:t>
            </w:r>
            <w:r w:rsidR="00DB6C09" w:rsidRPr="000028AD">
              <w:rPr>
                <w:color w:val="000000"/>
              </w:rPr>
              <w:t>39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70069C" w:rsidRPr="000028AD" w:rsidRDefault="00DB6C09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-0</w:t>
            </w:r>
            <w:r w:rsidR="0070069C" w:rsidRPr="000028AD">
              <w:rPr>
                <w:color w:val="000000"/>
              </w:rPr>
              <w:t>.</w:t>
            </w:r>
            <w:r w:rsidRPr="000028AD">
              <w:rPr>
                <w:color w:val="000000"/>
              </w:rPr>
              <w:t>87</w:t>
            </w:r>
          </w:p>
        </w:tc>
      </w:tr>
      <w:tr w:rsidR="0070069C" w:rsidRPr="000028AD" w:rsidTr="000028AD">
        <w:trPr>
          <w:trHeight w:val="251"/>
          <w:jc w:val="center"/>
        </w:trPr>
        <w:tc>
          <w:tcPr>
            <w:tcW w:w="1851" w:type="dxa"/>
            <w:vAlign w:val="center"/>
          </w:tcPr>
          <w:p w:rsidR="0070069C" w:rsidRPr="000028AD" w:rsidRDefault="0070069C" w:rsidP="004A0313">
            <w:pPr>
              <w:pStyle w:val="Header"/>
              <w:ind w:right="-180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0028AD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تموز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70069C" w:rsidRPr="000028AD" w:rsidRDefault="00DB6C09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2</w:t>
            </w:r>
            <w:r w:rsidR="0070069C" w:rsidRPr="000028AD">
              <w:rPr>
                <w:color w:val="000000"/>
              </w:rPr>
              <w:t>.</w:t>
            </w:r>
            <w:r w:rsidRPr="000028AD">
              <w:rPr>
                <w:color w:val="00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70069C" w:rsidRPr="000028AD" w:rsidRDefault="00DB6C09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1</w:t>
            </w:r>
            <w:r w:rsidR="0070069C" w:rsidRPr="000028AD">
              <w:rPr>
                <w:color w:val="000000"/>
              </w:rPr>
              <w:t>.</w:t>
            </w:r>
            <w:r w:rsidRPr="000028AD">
              <w:rPr>
                <w:color w:val="000000"/>
              </w:rPr>
              <w:t>55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70069C" w:rsidRPr="000028AD" w:rsidRDefault="00DB6C09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2</w:t>
            </w:r>
            <w:r w:rsidR="0070069C" w:rsidRPr="000028AD">
              <w:rPr>
                <w:color w:val="000000"/>
              </w:rPr>
              <w:t>.</w:t>
            </w:r>
            <w:r w:rsidRPr="000028AD">
              <w:rPr>
                <w:color w:val="000000"/>
              </w:rPr>
              <w:t>25</w:t>
            </w:r>
          </w:p>
        </w:tc>
      </w:tr>
      <w:tr w:rsidR="0070069C" w:rsidRPr="000028AD" w:rsidTr="000028AD">
        <w:trPr>
          <w:trHeight w:val="251"/>
          <w:jc w:val="center"/>
        </w:trPr>
        <w:tc>
          <w:tcPr>
            <w:tcW w:w="1851" w:type="dxa"/>
            <w:vAlign w:val="center"/>
          </w:tcPr>
          <w:p w:rsidR="0070069C" w:rsidRPr="000028AD" w:rsidRDefault="0070069C" w:rsidP="004A0313">
            <w:pPr>
              <w:pStyle w:val="Header"/>
              <w:ind w:right="-180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0028AD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آب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70069C" w:rsidRPr="000028AD" w:rsidRDefault="00DB6C09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10</w:t>
            </w:r>
            <w:r w:rsidR="0070069C" w:rsidRPr="000028AD">
              <w:rPr>
                <w:color w:val="000000"/>
              </w:rPr>
              <w:t>.</w:t>
            </w:r>
            <w:r w:rsidRPr="000028AD">
              <w:rPr>
                <w:color w:val="000000"/>
              </w:rPr>
              <w:t>45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70069C" w:rsidRPr="000028AD" w:rsidRDefault="00DB6C09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2</w:t>
            </w:r>
            <w:r w:rsidR="0070069C" w:rsidRPr="000028AD">
              <w:rPr>
                <w:color w:val="000000"/>
              </w:rPr>
              <w:t>.</w:t>
            </w:r>
            <w:r w:rsidRPr="000028AD">
              <w:rPr>
                <w:color w:val="000000"/>
              </w:rPr>
              <w:t>29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70069C" w:rsidRPr="000028AD" w:rsidRDefault="00DB6C09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9</w:t>
            </w:r>
            <w:r w:rsidR="0070069C" w:rsidRPr="000028AD">
              <w:rPr>
                <w:color w:val="000000"/>
              </w:rPr>
              <w:t>.</w:t>
            </w:r>
            <w:r w:rsidRPr="000028AD">
              <w:rPr>
                <w:color w:val="000000"/>
              </w:rPr>
              <w:t>80</w:t>
            </w:r>
          </w:p>
        </w:tc>
      </w:tr>
      <w:tr w:rsidR="0070069C" w:rsidRPr="000028AD" w:rsidTr="000028AD">
        <w:trPr>
          <w:trHeight w:val="251"/>
          <w:jc w:val="center"/>
        </w:trPr>
        <w:tc>
          <w:tcPr>
            <w:tcW w:w="1851" w:type="dxa"/>
            <w:vAlign w:val="center"/>
          </w:tcPr>
          <w:p w:rsidR="0070069C" w:rsidRPr="000028AD" w:rsidRDefault="0070069C" w:rsidP="004A0313">
            <w:pPr>
              <w:pStyle w:val="Header"/>
              <w:ind w:right="-180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0028AD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أيلول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70069C" w:rsidRPr="000028AD" w:rsidRDefault="00A70325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16</w:t>
            </w:r>
            <w:r w:rsidR="0070069C" w:rsidRPr="000028AD">
              <w:rPr>
                <w:color w:val="000000"/>
              </w:rPr>
              <w:t>.</w:t>
            </w:r>
            <w:r w:rsidRPr="000028AD">
              <w:rPr>
                <w:color w:val="000000"/>
              </w:rPr>
              <w:t>42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70069C" w:rsidRPr="000028AD" w:rsidRDefault="00A70325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6</w:t>
            </w:r>
            <w:r w:rsidR="0070069C" w:rsidRPr="000028AD">
              <w:rPr>
                <w:color w:val="000000"/>
              </w:rPr>
              <w:t>.</w:t>
            </w:r>
            <w:r w:rsidRPr="000028AD">
              <w:rPr>
                <w:color w:val="000000"/>
              </w:rPr>
              <w:t>29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70069C" w:rsidRPr="000028AD" w:rsidRDefault="00A70325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15</w:t>
            </w:r>
            <w:r w:rsidR="0070069C" w:rsidRPr="000028AD">
              <w:rPr>
                <w:color w:val="000000"/>
              </w:rPr>
              <w:t>.</w:t>
            </w:r>
            <w:r w:rsidRPr="000028AD">
              <w:rPr>
                <w:color w:val="000000"/>
              </w:rPr>
              <w:t>67</w:t>
            </w:r>
          </w:p>
        </w:tc>
      </w:tr>
      <w:tr w:rsidR="0070069C" w:rsidRPr="000028AD" w:rsidTr="000028AD">
        <w:trPr>
          <w:trHeight w:val="251"/>
          <w:jc w:val="center"/>
        </w:trPr>
        <w:tc>
          <w:tcPr>
            <w:tcW w:w="1851" w:type="dxa"/>
            <w:vAlign w:val="center"/>
          </w:tcPr>
          <w:p w:rsidR="0070069C" w:rsidRPr="000028AD" w:rsidRDefault="0070069C" w:rsidP="004A0313">
            <w:pPr>
              <w:pStyle w:val="Header"/>
              <w:ind w:right="-180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0028AD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تشرين أول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70069C" w:rsidRPr="000028AD" w:rsidRDefault="008C70AE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2</w:t>
            </w:r>
            <w:r w:rsidR="0070069C" w:rsidRPr="000028AD">
              <w:rPr>
                <w:color w:val="000000"/>
              </w:rPr>
              <w:t>.</w:t>
            </w:r>
            <w:r w:rsidRPr="000028AD">
              <w:rPr>
                <w:color w:val="000000"/>
              </w:rPr>
              <w:t>80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70069C" w:rsidRPr="000028AD" w:rsidRDefault="008C70AE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3</w:t>
            </w:r>
            <w:r w:rsidR="0070069C" w:rsidRPr="000028AD">
              <w:rPr>
                <w:color w:val="000000"/>
              </w:rPr>
              <w:t>.</w:t>
            </w:r>
            <w:r w:rsidRPr="000028AD">
              <w:rPr>
                <w:color w:val="000000"/>
              </w:rPr>
              <w:t>60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70069C" w:rsidRPr="000028AD" w:rsidRDefault="008C70AE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2</w:t>
            </w:r>
            <w:r w:rsidR="0070069C" w:rsidRPr="000028AD">
              <w:rPr>
                <w:color w:val="000000"/>
              </w:rPr>
              <w:t>.</w:t>
            </w:r>
            <w:r w:rsidRPr="000028AD">
              <w:rPr>
                <w:color w:val="000000"/>
              </w:rPr>
              <w:t>85</w:t>
            </w:r>
          </w:p>
        </w:tc>
      </w:tr>
      <w:tr w:rsidR="0070069C" w:rsidRPr="000028AD" w:rsidTr="000028AD">
        <w:trPr>
          <w:trHeight w:val="251"/>
          <w:jc w:val="center"/>
        </w:trPr>
        <w:tc>
          <w:tcPr>
            <w:tcW w:w="1851" w:type="dxa"/>
            <w:vAlign w:val="center"/>
          </w:tcPr>
          <w:p w:rsidR="0070069C" w:rsidRPr="000028AD" w:rsidRDefault="0070069C" w:rsidP="004A0313">
            <w:pPr>
              <w:pStyle w:val="Header"/>
              <w:ind w:right="-180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0028AD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تشرين ثاني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70069C" w:rsidRPr="000028AD" w:rsidRDefault="0070069C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-</w:t>
            </w:r>
            <w:r w:rsidR="008C70AE" w:rsidRPr="000028AD">
              <w:rPr>
                <w:color w:val="000000"/>
              </w:rPr>
              <w:t>1</w:t>
            </w:r>
            <w:r w:rsidRPr="000028AD">
              <w:rPr>
                <w:color w:val="000000"/>
              </w:rPr>
              <w:t>.</w:t>
            </w:r>
            <w:r w:rsidR="008C70AE" w:rsidRPr="000028AD">
              <w:rPr>
                <w:color w:val="00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70069C" w:rsidRPr="000028AD" w:rsidRDefault="0070069C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-</w:t>
            </w:r>
            <w:r w:rsidR="008C70AE" w:rsidRPr="000028AD">
              <w:rPr>
                <w:color w:val="000000"/>
              </w:rPr>
              <w:t>0</w:t>
            </w:r>
            <w:r w:rsidRPr="000028AD">
              <w:rPr>
                <w:color w:val="000000"/>
              </w:rPr>
              <w:t>.</w:t>
            </w:r>
            <w:r w:rsidR="008C70AE" w:rsidRPr="000028AD">
              <w:rPr>
                <w:color w:val="000000"/>
              </w:rPr>
              <w:t>22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70069C" w:rsidRPr="000028AD" w:rsidRDefault="0070069C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-</w:t>
            </w:r>
            <w:r w:rsidR="008C70AE" w:rsidRPr="000028AD">
              <w:rPr>
                <w:color w:val="000000"/>
              </w:rPr>
              <w:t>1</w:t>
            </w:r>
            <w:r w:rsidRPr="000028AD">
              <w:rPr>
                <w:color w:val="000000"/>
              </w:rPr>
              <w:t>.</w:t>
            </w:r>
            <w:r w:rsidR="008C70AE" w:rsidRPr="000028AD">
              <w:rPr>
                <w:color w:val="000000"/>
              </w:rPr>
              <w:t>10</w:t>
            </w:r>
          </w:p>
        </w:tc>
      </w:tr>
      <w:tr w:rsidR="008C70AE" w:rsidRPr="000028AD" w:rsidTr="000028AD">
        <w:trPr>
          <w:trHeight w:val="251"/>
          <w:jc w:val="center"/>
        </w:trPr>
        <w:tc>
          <w:tcPr>
            <w:tcW w:w="1851" w:type="dxa"/>
            <w:vAlign w:val="center"/>
          </w:tcPr>
          <w:p w:rsidR="008C70AE" w:rsidRPr="000028AD" w:rsidRDefault="008C70AE" w:rsidP="008C70AE">
            <w:pPr>
              <w:pStyle w:val="Header"/>
              <w:ind w:right="-180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0028AD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كانون أول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8C70AE" w:rsidRPr="000028AD" w:rsidRDefault="008C70AE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-5.</w:t>
            </w:r>
            <w:r w:rsidR="00185FD8" w:rsidRPr="000028AD">
              <w:rPr>
                <w:color w:val="000000"/>
              </w:rPr>
              <w:t>87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8C70AE" w:rsidRPr="000028AD" w:rsidRDefault="008C70AE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-4.33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8C70AE" w:rsidRPr="000028AD" w:rsidRDefault="008C70AE" w:rsidP="000028AD">
            <w:pPr>
              <w:bidi w:val="0"/>
              <w:jc w:val="center"/>
              <w:rPr>
                <w:color w:val="000000"/>
              </w:rPr>
            </w:pPr>
            <w:r w:rsidRPr="000028AD">
              <w:rPr>
                <w:color w:val="000000"/>
              </w:rPr>
              <w:t>-5.</w:t>
            </w:r>
            <w:r w:rsidR="00185FD8" w:rsidRPr="000028AD">
              <w:rPr>
                <w:color w:val="000000"/>
              </w:rPr>
              <w:t>77</w:t>
            </w:r>
          </w:p>
        </w:tc>
      </w:tr>
      <w:tr w:rsidR="0070069C" w:rsidRPr="000028AD" w:rsidTr="000028AD">
        <w:trPr>
          <w:trHeight w:val="504"/>
          <w:jc w:val="center"/>
        </w:trPr>
        <w:tc>
          <w:tcPr>
            <w:tcW w:w="1851" w:type="dxa"/>
            <w:vAlign w:val="center"/>
          </w:tcPr>
          <w:p w:rsidR="0070069C" w:rsidRPr="000028AD" w:rsidRDefault="00536B7A" w:rsidP="00536B7A">
            <w:pPr>
              <w:pStyle w:val="Header"/>
              <w:ind w:right="-180"/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0028AD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2024</w:t>
            </w:r>
            <w:r w:rsidR="0070069C" w:rsidRPr="000028AD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 مقارنة ﺒ </w:t>
            </w:r>
            <w:r w:rsidRPr="000028AD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2023</w:t>
            </w:r>
          </w:p>
        </w:tc>
        <w:tc>
          <w:tcPr>
            <w:tcW w:w="1606" w:type="dxa"/>
            <w:vAlign w:val="center"/>
          </w:tcPr>
          <w:p w:rsidR="0070069C" w:rsidRPr="000028AD" w:rsidRDefault="008C70AE" w:rsidP="000028AD">
            <w:pPr>
              <w:pStyle w:val="Header"/>
              <w:ind w:right="-180"/>
              <w:jc w:val="center"/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0028AD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38</w:t>
            </w:r>
            <w:r w:rsidR="0070069C" w:rsidRPr="000028AD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.</w:t>
            </w:r>
            <w:r w:rsidR="00553576" w:rsidRPr="000028AD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55</w:t>
            </w:r>
          </w:p>
        </w:tc>
        <w:tc>
          <w:tcPr>
            <w:tcW w:w="1428" w:type="dxa"/>
            <w:vAlign w:val="center"/>
          </w:tcPr>
          <w:p w:rsidR="0070069C" w:rsidRPr="000028AD" w:rsidRDefault="008C70AE" w:rsidP="000028AD">
            <w:pPr>
              <w:pStyle w:val="Header"/>
              <w:ind w:right="-180"/>
              <w:jc w:val="center"/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0028AD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5</w:t>
            </w:r>
            <w:r w:rsidR="0070069C" w:rsidRPr="000028AD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.</w:t>
            </w:r>
            <w:r w:rsidRPr="000028AD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69</w:t>
            </w:r>
          </w:p>
        </w:tc>
        <w:tc>
          <w:tcPr>
            <w:tcW w:w="1494" w:type="dxa"/>
            <w:vAlign w:val="center"/>
          </w:tcPr>
          <w:p w:rsidR="0070069C" w:rsidRPr="000028AD" w:rsidRDefault="008C70AE" w:rsidP="000028AD">
            <w:pPr>
              <w:pStyle w:val="Header"/>
              <w:ind w:right="-180"/>
              <w:jc w:val="center"/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0028AD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35</w:t>
            </w:r>
            <w:r w:rsidR="0070069C" w:rsidRPr="000028AD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.</w:t>
            </w:r>
            <w:r w:rsidR="00553576" w:rsidRPr="000028AD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42</w:t>
            </w:r>
          </w:p>
        </w:tc>
      </w:tr>
    </w:tbl>
    <w:p w:rsidR="00E92380" w:rsidRPr="00E92380" w:rsidRDefault="00E92380" w:rsidP="008C102C">
      <w:pPr>
        <w:rPr>
          <w:rFonts w:cs="Simplified Arabic"/>
          <w:b/>
          <w:bCs/>
          <w:sz w:val="16"/>
          <w:szCs w:val="16"/>
          <w:rtl/>
        </w:rPr>
      </w:pPr>
    </w:p>
    <w:p w:rsidR="000028AD" w:rsidRDefault="0070069C" w:rsidP="000028AD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E92380">
        <w:rPr>
          <w:rFonts w:cs="Simplified Arabic" w:hint="cs"/>
          <w:b/>
          <w:bCs/>
          <w:sz w:val="28"/>
          <w:szCs w:val="28"/>
          <w:rtl/>
        </w:rPr>
        <w:t>الاتجاه العام لحركة الأرقام القياسية لأسعار المنتج في فلسطين للأشهر:</w:t>
      </w:r>
    </w:p>
    <w:p w:rsidR="0070069C" w:rsidRPr="000028AD" w:rsidRDefault="0070069C" w:rsidP="000028AD">
      <w:pPr>
        <w:jc w:val="center"/>
        <w:rPr>
          <w:rFonts w:cs="Simplified Arabic"/>
          <w:color w:val="000000"/>
          <w:sz w:val="28"/>
          <w:szCs w:val="28"/>
          <w:rtl/>
        </w:rPr>
      </w:pPr>
      <w:r w:rsidRPr="00E92380">
        <w:rPr>
          <w:rFonts w:cs="Simplified Arabic" w:hint="cs"/>
          <w:b/>
          <w:bCs/>
          <w:sz w:val="28"/>
          <w:szCs w:val="28"/>
          <w:rtl/>
        </w:rPr>
        <w:t>كانون ثاني</w:t>
      </w:r>
      <w:r w:rsidRPr="00E92380">
        <w:rPr>
          <w:rFonts w:cs="Simplified Arabic"/>
          <w:b/>
          <w:bCs/>
          <w:sz w:val="28"/>
          <w:szCs w:val="28"/>
          <w:rtl/>
        </w:rPr>
        <w:t>–</w:t>
      </w:r>
      <w:r w:rsidRPr="00E92380">
        <w:rPr>
          <w:rFonts w:cs="Simplified Arabic" w:hint="cs"/>
          <w:b/>
          <w:bCs/>
          <w:sz w:val="28"/>
          <w:szCs w:val="28"/>
          <w:rtl/>
        </w:rPr>
        <w:t xml:space="preserve"> كانون أول </w:t>
      </w:r>
      <w:r w:rsidR="008C102C" w:rsidRPr="00E92380">
        <w:rPr>
          <w:rFonts w:cs="Simplified Arabic" w:hint="cs"/>
          <w:b/>
          <w:bCs/>
          <w:sz w:val="28"/>
          <w:szCs w:val="28"/>
          <w:rtl/>
        </w:rPr>
        <w:t>2024</w:t>
      </w:r>
      <w:r w:rsidR="000028AD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92380">
        <w:rPr>
          <w:rFonts w:cs="Simplified Arabic" w:hint="cs"/>
          <w:b/>
          <w:bCs/>
          <w:sz w:val="28"/>
          <w:szCs w:val="28"/>
          <w:rtl/>
        </w:rPr>
        <w:t>(سنة الأساس 2019 = 100)</w:t>
      </w:r>
    </w:p>
    <w:p w:rsidR="0070069C" w:rsidRPr="00217AF4" w:rsidRDefault="0070069C" w:rsidP="0070069C">
      <w:pPr>
        <w:pStyle w:val="BodyText2"/>
        <w:spacing w:after="0" w:line="240" w:lineRule="auto"/>
        <w:jc w:val="center"/>
        <w:rPr>
          <w:rFonts w:cs="Simplified Arabic" w:hint="cs"/>
          <w:b/>
          <w:bCs/>
          <w:sz w:val="8"/>
          <w:szCs w:val="8"/>
          <w:rtl/>
        </w:rPr>
      </w:pPr>
    </w:p>
    <w:p w:rsidR="0070069C" w:rsidRDefault="000028AD" w:rsidP="00E92380">
      <w:pPr>
        <w:jc w:val="center"/>
        <w:rPr>
          <w:rFonts w:cs="Simplified Arabic" w:hint="cs"/>
          <w:b/>
          <w:bCs/>
          <w:sz w:val="18"/>
          <w:szCs w:val="18"/>
          <w:rtl/>
        </w:rPr>
      </w:pPr>
      <w:r w:rsidRPr="00D926BB">
        <w:rPr>
          <w:rFonts w:ascii="Arial" w:hAnsi="Arial" w:cs="Arial"/>
          <w:sz w:val="18"/>
          <w:szCs w:val="18"/>
        </w:rPr>
        <w:object w:dxaOrig="5806" w:dyaOrig="35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90.25pt;height:177pt" o:ole="">
            <v:imagedata r:id="rId9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MSGraph.Chart.8" ShapeID="_x0000_i1026" DrawAspect="Content" ObjectID="_1799734442" r:id="rId10">
            <o:FieldCodes>\s</o:FieldCodes>
          </o:OLEObject>
        </w:object>
      </w:r>
    </w:p>
    <w:p w:rsidR="006C541D" w:rsidRPr="00784C29" w:rsidRDefault="006C541D" w:rsidP="0044483F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2"/>
          <w:szCs w:val="12"/>
          <w:rtl/>
        </w:rPr>
      </w:pPr>
    </w:p>
    <w:p w:rsidR="005329E4" w:rsidRDefault="005329E4" w:rsidP="002246D0">
      <w:pPr>
        <w:pStyle w:val="BodyText2"/>
        <w:spacing w:after="0" w:line="240" w:lineRule="auto"/>
        <w:rPr>
          <w:rFonts w:cs="Simplified Arabic"/>
          <w:b/>
          <w:bCs/>
          <w:rtl/>
        </w:rPr>
      </w:pPr>
    </w:p>
    <w:p w:rsidR="005329E4" w:rsidRDefault="005329E4" w:rsidP="002246D0">
      <w:pPr>
        <w:pStyle w:val="BodyText2"/>
        <w:spacing w:after="0" w:line="240" w:lineRule="auto"/>
        <w:rPr>
          <w:rFonts w:cs="Simplified Arabic"/>
          <w:b/>
          <w:bCs/>
          <w:rtl/>
        </w:rPr>
      </w:pPr>
    </w:p>
    <w:p w:rsidR="005329E4" w:rsidRDefault="005329E4" w:rsidP="002246D0">
      <w:pPr>
        <w:pStyle w:val="BodyText2"/>
        <w:spacing w:after="0" w:line="240" w:lineRule="auto"/>
        <w:rPr>
          <w:rFonts w:cs="Simplified Arabic"/>
          <w:b/>
          <w:bCs/>
          <w:rtl/>
        </w:rPr>
      </w:pPr>
    </w:p>
    <w:p w:rsidR="002246D0" w:rsidRPr="000028AD" w:rsidRDefault="002246D0" w:rsidP="002246D0">
      <w:pPr>
        <w:pStyle w:val="BodyText2"/>
        <w:spacing w:after="0" w:line="240" w:lineRule="auto"/>
        <w:rPr>
          <w:rFonts w:cs="Simplified Arabic"/>
          <w:b/>
          <w:bCs/>
          <w:rtl/>
        </w:rPr>
      </w:pPr>
      <w:r w:rsidRPr="000028AD">
        <w:rPr>
          <w:rFonts w:cs="Simplified Arabic" w:hint="cs"/>
          <w:b/>
          <w:bCs/>
          <w:rtl/>
        </w:rPr>
        <w:t>تنويه</w:t>
      </w:r>
      <w:r w:rsidR="00E0145F" w:rsidRPr="000028AD">
        <w:rPr>
          <w:rFonts w:cs="Simplified Arabic" w:hint="cs"/>
          <w:b/>
          <w:bCs/>
          <w:rtl/>
        </w:rPr>
        <w:t xml:space="preserve"> </w:t>
      </w:r>
      <w:r w:rsidRPr="000028AD">
        <w:rPr>
          <w:rFonts w:cs="Simplified Arabic" w:hint="cs"/>
          <w:b/>
          <w:bCs/>
          <w:rtl/>
        </w:rPr>
        <w:t>لمستخدمي</w:t>
      </w:r>
      <w:r w:rsidR="00E0145F" w:rsidRPr="000028AD">
        <w:rPr>
          <w:rFonts w:cs="Simplified Arabic" w:hint="cs"/>
          <w:b/>
          <w:bCs/>
          <w:rtl/>
        </w:rPr>
        <w:t xml:space="preserve"> </w:t>
      </w:r>
      <w:r w:rsidRPr="000028AD">
        <w:rPr>
          <w:rFonts w:cs="Simplified Arabic" w:hint="cs"/>
          <w:b/>
          <w:bCs/>
          <w:rtl/>
        </w:rPr>
        <w:t>البيانات:</w:t>
      </w:r>
    </w:p>
    <w:p w:rsidR="00441CDC" w:rsidRPr="000028AD" w:rsidRDefault="002246D0" w:rsidP="00FA5D1E">
      <w:pPr>
        <w:pStyle w:val="ListParagraph"/>
        <w:numPr>
          <w:ilvl w:val="0"/>
          <w:numId w:val="5"/>
        </w:numPr>
        <w:tabs>
          <w:tab w:val="left" w:pos="282"/>
        </w:tabs>
        <w:ind w:left="282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0028AD">
        <w:rPr>
          <w:rFonts w:ascii="Simplified Arabic" w:hAnsi="Simplified Arabic" w:cs="Simplified Arabic" w:hint="cs"/>
          <w:sz w:val="24"/>
          <w:szCs w:val="24"/>
          <w:rtl/>
        </w:rPr>
        <w:t>عملية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جمع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البيانات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الخاصة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بالسلع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الزراعية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التي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تجمع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5794F" w:rsidRPr="000028AD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5794F" w:rsidRPr="000028AD">
        <w:rPr>
          <w:rFonts w:ascii="Simplified Arabic" w:hAnsi="Simplified Arabic" w:cs="Simplified Arabic" w:hint="cs"/>
          <w:sz w:val="24"/>
          <w:szCs w:val="24"/>
          <w:rtl/>
        </w:rPr>
        <w:t>شهر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E730B" w:rsidRPr="000028AD">
        <w:rPr>
          <w:rFonts w:ascii="Simplified Arabic" w:hAnsi="Simplified Arabic" w:cs="Simplified Arabic" w:hint="cs"/>
          <w:sz w:val="24"/>
          <w:szCs w:val="24"/>
          <w:rtl/>
        </w:rPr>
        <w:t>الإسناد نفسه،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5794F" w:rsidRPr="000028AD">
        <w:rPr>
          <w:rFonts w:ascii="Simplified Arabic" w:hAnsi="Simplified Arabic" w:cs="Simplified Arabic" w:hint="cs"/>
          <w:sz w:val="24"/>
          <w:szCs w:val="24"/>
          <w:rtl/>
        </w:rPr>
        <w:t>كانت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5794F" w:rsidRPr="000028AD">
        <w:rPr>
          <w:rFonts w:ascii="Simplified Arabic" w:hAnsi="Simplified Arabic" w:cs="Simplified Arabic" w:hint="cs"/>
          <w:sz w:val="24"/>
          <w:szCs w:val="24"/>
          <w:rtl/>
        </w:rPr>
        <w:t>مكتملة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5794F" w:rsidRPr="000028AD">
        <w:rPr>
          <w:rFonts w:ascii="Simplified Arabic" w:hAnsi="Simplified Arabic" w:cs="Simplified Arabic" w:hint="cs"/>
          <w:sz w:val="24"/>
          <w:szCs w:val="24"/>
          <w:rtl/>
        </w:rPr>
        <w:t>للضفة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5794F" w:rsidRPr="000028AD">
        <w:rPr>
          <w:rFonts w:ascii="Simplified Arabic" w:hAnsi="Simplified Arabic" w:cs="Simplified Arabic" w:hint="cs"/>
          <w:sz w:val="24"/>
          <w:szCs w:val="24"/>
          <w:rtl/>
        </w:rPr>
        <w:t>الغربية،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F2DC6" w:rsidRPr="000028AD">
        <w:rPr>
          <w:rFonts w:ascii="Simplified Arabic" w:hAnsi="Simplified Arabic" w:cs="Simplified Arabic" w:hint="cs"/>
          <w:sz w:val="24"/>
          <w:szCs w:val="24"/>
          <w:rtl/>
        </w:rPr>
        <w:t>فيما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F2DC6" w:rsidRPr="000028AD">
        <w:rPr>
          <w:rFonts w:ascii="Simplified Arabic" w:hAnsi="Simplified Arabic" w:cs="Simplified Arabic" w:hint="cs"/>
          <w:sz w:val="24"/>
          <w:szCs w:val="24"/>
          <w:rtl/>
        </w:rPr>
        <w:t>تم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تجميع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بيانات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شهر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27C49" w:rsidRPr="000028AD">
        <w:rPr>
          <w:rFonts w:ascii="Simplified Arabic" w:hAnsi="Simplified Arabic" w:cs="Simplified Arabic" w:hint="cs"/>
          <w:sz w:val="24"/>
          <w:szCs w:val="24"/>
          <w:rtl/>
        </w:rPr>
        <w:t>كانون الأول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C3EB7" w:rsidRPr="000028AD">
        <w:rPr>
          <w:rFonts w:ascii="Simplified Arabic" w:hAnsi="Simplified Arabic" w:cs="Simplified Arabic" w:hint="cs"/>
          <w:sz w:val="24"/>
          <w:szCs w:val="24"/>
          <w:rtl/>
        </w:rPr>
        <w:t>2024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لقطاع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غزة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خلال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التواصل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الهاتفي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المباشر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قبل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إدارة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المشروع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مع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الباحثين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الميدانيين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القطاع</w:t>
      </w:r>
      <w:r w:rsidR="00CE730B" w:rsidRPr="000028AD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وتسجيل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الأسعار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للسلع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ذات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الأهمية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النسبية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المرتفعة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الرقم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القياسي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لأسعار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المنتج</w:t>
      </w:r>
      <w:r w:rsidR="00CE730B" w:rsidRPr="000028AD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وذلك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بسبب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عدوان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الاحتلال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الإسرائيلي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E730B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المتواصل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قطاع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غزة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منذ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السابع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27C49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تشرين </w:t>
      </w:r>
      <w:r w:rsidR="00FA5D1E" w:rsidRPr="000028AD">
        <w:rPr>
          <w:rFonts w:ascii="Simplified Arabic" w:hAnsi="Simplified Arabic" w:cs="Simplified Arabic" w:hint="cs"/>
          <w:sz w:val="24"/>
          <w:szCs w:val="24"/>
          <w:rtl/>
        </w:rPr>
        <w:t>الأول</w:t>
      </w:r>
      <w:r w:rsidR="00CE730B" w:rsidRPr="000028AD">
        <w:rPr>
          <w:rFonts w:ascii="Simplified Arabic" w:hAnsi="Simplified Arabic" w:cs="Simplified Arabic" w:hint="cs"/>
          <w:sz w:val="24"/>
          <w:szCs w:val="24"/>
          <w:rtl/>
        </w:rPr>
        <w:t>/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أكتوبر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0028AD">
        <w:rPr>
          <w:rFonts w:ascii="Simplified Arabic" w:hAnsi="Simplified Arabic" w:cs="Simplified Arabic" w:hint="cs"/>
          <w:sz w:val="24"/>
          <w:szCs w:val="24"/>
          <w:rtl/>
        </w:rPr>
        <w:t>2023.</w:t>
      </w:r>
    </w:p>
    <w:p w:rsidR="002246D0" w:rsidRDefault="007D0797" w:rsidP="00FA5D1E">
      <w:pPr>
        <w:pStyle w:val="ListParagraph"/>
        <w:numPr>
          <w:ilvl w:val="0"/>
          <w:numId w:val="5"/>
        </w:numPr>
        <w:tabs>
          <w:tab w:val="left" w:pos="282"/>
        </w:tabs>
        <w:ind w:left="282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0028AD">
        <w:rPr>
          <w:rFonts w:ascii="Simplified Arabic" w:hAnsi="Simplified Arabic" w:cs="Simplified Arabic" w:hint="cs"/>
          <w:sz w:val="24"/>
          <w:szCs w:val="24"/>
          <w:rtl/>
        </w:rPr>
        <w:t>عملية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جمع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البيانات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الخاصة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بالسلع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الصناعية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لعينة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الضفة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الغربية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المنشآت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الصناعية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كانت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مكتملة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عن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شهر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27C49" w:rsidRPr="000028AD">
        <w:rPr>
          <w:rFonts w:ascii="Simplified Arabic" w:hAnsi="Simplified Arabic" w:cs="Simplified Arabic" w:hint="cs"/>
          <w:sz w:val="24"/>
          <w:szCs w:val="24"/>
          <w:rtl/>
        </w:rPr>
        <w:t>كانون الأول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C3EB7" w:rsidRPr="000028AD">
        <w:rPr>
          <w:rFonts w:ascii="Simplified Arabic" w:hAnsi="Simplified Arabic" w:cs="Simplified Arabic" w:hint="cs"/>
          <w:sz w:val="24"/>
          <w:szCs w:val="24"/>
          <w:rtl/>
        </w:rPr>
        <w:t>2024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أما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قطاع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غزة</w:t>
      </w:r>
      <w:r w:rsidR="00CE730B" w:rsidRPr="000028AD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فقد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B6E18" w:rsidRPr="000028AD">
        <w:rPr>
          <w:rFonts w:ascii="Simplified Arabic" w:hAnsi="Simplified Arabic" w:cs="Simplified Arabic" w:hint="cs"/>
          <w:sz w:val="24"/>
          <w:szCs w:val="24"/>
          <w:rtl/>
        </w:rPr>
        <w:t>تم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B6E18" w:rsidRPr="000028AD">
        <w:rPr>
          <w:rFonts w:ascii="Simplified Arabic" w:hAnsi="Simplified Arabic" w:cs="Simplified Arabic" w:hint="cs"/>
          <w:sz w:val="24"/>
          <w:szCs w:val="24"/>
          <w:rtl/>
        </w:rPr>
        <w:t>تقدير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B6E18" w:rsidRPr="000028AD">
        <w:rPr>
          <w:rFonts w:ascii="Simplified Arabic" w:hAnsi="Simplified Arabic" w:cs="Simplified Arabic" w:hint="cs"/>
          <w:sz w:val="24"/>
          <w:szCs w:val="24"/>
          <w:rtl/>
        </w:rPr>
        <w:t>بيانات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246D0" w:rsidRPr="000028AD">
        <w:rPr>
          <w:rFonts w:ascii="Simplified Arabic" w:hAnsi="Simplified Arabic" w:cs="Simplified Arabic" w:hint="cs"/>
          <w:sz w:val="24"/>
          <w:szCs w:val="24"/>
          <w:rtl/>
        </w:rPr>
        <w:t>المنشآت</w:t>
      </w:r>
      <w:r w:rsidR="00E0145F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246D0" w:rsidRPr="000028AD">
        <w:rPr>
          <w:rFonts w:ascii="Simplified Arabic" w:hAnsi="Simplified Arabic" w:cs="Simplified Arabic" w:hint="cs"/>
          <w:sz w:val="24"/>
          <w:szCs w:val="24"/>
          <w:rtl/>
        </w:rPr>
        <w:t>الصناعية</w:t>
      </w:r>
      <w:r w:rsidR="00CE730B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كافة،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246D0" w:rsidRPr="000028AD">
        <w:rPr>
          <w:rFonts w:ascii="Simplified Arabic" w:hAnsi="Simplified Arabic" w:cs="Simplified Arabic"/>
          <w:sz w:val="24"/>
          <w:szCs w:val="24"/>
          <w:rtl/>
        </w:rPr>
        <w:t>نظراً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cs="Simplified Arabic" w:hint="cs"/>
          <w:color w:val="000000"/>
          <w:sz w:val="24"/>
          <w:szCs w:val="24"/>
          <w:rtl/>
        </w:rPr>
        <w:t>لما</w:t>
      </w:r>
      <w:r w:rsidR="00E0145F" w:rsidRPr="000028AD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Pr="000028AD">
        <w:rPr>
          <w:rFonts w:ascii="Simplified Arabic" w:cs="Simplified Arabic" w:hint="cs"/>
          <w:color w:val="000000"/>
          <w:sz w:val="24"/>
          <w:szCs w:val="24"/>
          <w:rtl/>
        </w:rPr>
        <w:t>شهده</w:t>
      </w:r>
      <w:r w:rsidR="00E0145F" w:rsidRPr="000028AD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Pr="000028AD">
        <w:rPr>
          <w:rFonts w:ascii="Simplified Arabic" w:cs="Simplified Arabic" w:hint="cs"/>
          <w:color w:val="000000"/>
          <w:sz w:val="24"/>
          <w:szCs w:val="24"/>
          <w:rtl/>
        </w:rPr>
        <w:t>القطاع</w:t>
      </w:r>
      <w:r w:rsidR="00E0145F" w:rsidRPr="000028AD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CE730B" w:rsidRPr="000028AD">
        <w:rPr>
          <w:rFonts w:ascii="Simplified Arabic" w:cs="Simplified Arabic" w:hint="cs"/>
          <w:color w:val="000000"/>
          <w:sz w:val="24"/>
          <w:szCs w:val="24"/>
          <w:rtl/>
        </w:rPr>
        <w:t xml:space="preserve">بعد </w:t>
      </w:r>
      <w:r w:rsidR="002246D0" w:rsidRPr="000028AD">
        <w:rPr>
          <w:rFonts w:ascii="Simplified Arabic" w:cs="Simplified Arabic" w:hint="cs"/>
          <w:color w:val="000000"/>
          <w:sz w:val="24"/>
          <w:szCs w:val="24"/>
          <w:rtl/>
        </w:rPr>
        <w:t>السابع</w:t>
      </w:r>
      <w:r w:rsidR="00E0145F" w:rsidRPr="000028AD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0028AD">
        <w:rPr>
          <w:rFonts w:ascii="Simplified Arabic" w:cs="Simplified Arabic" w:hint="cs"/>
          <w:color w:val="000000"/>
          <w:sz w:val="24"/>
          <w:szCs w:val="24"/>
          <w:rtl/>
        </w:rPr>
        <w:t>من</w:t>
      </w:r>
      <w:r w:rsidR="00E0145F" w:rsidRPr="000028AD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727C49" w:rsidRPr="000028AD">
        <w:rPr>
          <w:rFonts w:ascii="Simplified Arabic" w:cs="Simplified Arabic" w:hint="cs"/>
          <w:color w:val="000000"/>
          <w:sz w:val="24"/>
          <w:szCs w:val="24"/>
          <w:rtl/>
        </w:rPr>
        <w:t xml:space="preserve">تشرين </w:t>
      </w:r>
      <w:r w:rsidR="00FA5D1E" w:rsidRPr="000028AD">
        <w:rPr>
          <w:rFonts w:ascii="Simplified Arabic" w:cs="Simplified Arabic" w:hint="cs"/>
          <w:color w:val="000000"/>
          <w:sz w:val="24"/>
          <w:szCs w:val="24"/>
          <w:rtl/>
        </w:rPr>
        <w:t>الأول</w:t>
      </w:r>
      <w:r w:rsidR="00CE730B" w:rsidRPr="000028AD">
        <w:rPr>
          <w:rFonts w:ascii="Simplified Arabic" w:cs="Simplified Arabic" w:hint="cs"/>
          <w:color w:val="000000"/>
          <w:sz w:val="24"/>
          <w:szCs w:val="24"/>
          <w:rtl/>
        </w:rPr>
        <w:t>/أكتوبر</w:t>
      </w:r>
      <w:r w:rsidR="00E0145F" w:rsidRPr="000028AD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0028AD">
        <w:rPr>
          <w:rFonts w:ascii="Simplified Arabic" w:cs="Simplified Arabic" w:hint="cs"/>
          <w:color w:val="000000"/>
          <w:sz w:val="24"/>
          <w:szCs w:val="24"/>
          <w:rtl/>
        </w:rPr>
        <w:t>العام</w:t>
      </w:r>
      <w:r w:rsidR="00E0145F" w:rsidRPr="000028AD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0028AD">
        <w:rPr>
          <w:rFonts w:ascii="Simplified Arabic" w:cs="Simplified Arabic" w:hint="cs"/>
          <w:color w:val="000000"/>
          <w:sz w:val="24"/>
          <w:szCs w:val="24"/>
          <w:rtl/>
        </w:rPr>
        <w:t>2023</w:t>
      </w:r>
      <w:r w:rsidR="00E0145F" w:rsidRPr="000028AD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0028AD">
        <w:rPr>
          <w:rFonts w:ascii="Simplified Arabic" w:cs="Simplified Arabic" w:hint="cs"/>
          <w:color w:val="000000"/>
          <w:sz w:val="24"/>
          <w:szCs w:val="24"/>
          <w:rtl/>
        </w:rPr>
        <w:t>من</w:t>
      </w:r>
      <w:r w:rsidR="00E0145F" w:rsidRPr="000028AD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0028AD">
        <w:rPr>
          <w:rFonts w:ascii="Simplified Arabic" w:cs="Simplified Arabic" w:hint="cs"/>
          <w:color w:val="000000"/>
          <w:sz w:val="24"/>
          <w:szCs w:val="24"/>
          <w:rtl/>
        </w:rPr>
        <w:t>تصعيد</w:t>
      </w:r>
      <w:r w:rsidR="00E0145F" w:rsidRPr="000028AD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CE730B" w:rsidRPr="000028AD">
        <w:rPr>
          <w:rFonts w:ascii="Simplified Arabic" w:cs="Simplified Arabic" w:hint="cs"/>
          <w:color w:val="000000"/>
          <w:sz w:val="24"/>
          <w:szCs w:val="24"/>
          <w:rtl/>
        </w:rPr>
        <w:t>إسرائيلي</w:t>
      </w:r>
      <w:r w:rsidR="00E0145F" w:rsidRPr="000028AD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0028AD">
        <w:rPr>
          <w:rFonts w:ascii="Simplified Arabic" w:cs="Simplified Arabic" w:hint="cs"/>
          <w:color w:val="000000"/>
          <w:sz w:val="24"/>
          <w:szCs w:val="24"/>
          <w:rtl/>
        </w:rPr>
        <w:t>متسارع</w:t>
      </w:r>
      <w:r w:rsidR="00E0145F" w:rsidRPr="000028AD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0028AD">
        <w:rPr>
          <w:rFonts w:ascii="Simplified Arabic" w:cs="Simplified Arabic" w:hint="cs"/>
          <w:color w:val="000000"/>
          <w:sz w:val="24"/>
          <w:szCs w:val="24"/>
          <w:rtl/>
        </w:rPr>
        <w:t>بحق</w:t>
      </w:r>
      <w:r w:rsidR="00E0145F" w:rsidRPr="000028AD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973865" w:rsidRPr="000028AD">
        <w:rPr>
          <w:rFonts w:ascii="Simplified Arabic" w:cs="Simplified Arabic" w:hint="cs"/>
          <w:color w:val="000000"/>
          <w:sz w:val="24"/>
          <w:szCs w:val="24"/>
          <w:rtl/>
        </w:rPr>
        <w:t>نواحي</w:t>
      </w:r>
      <w:r w:rsidR="00E0145F" w:rsidRPr="000028AD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0028AD">
        <w:rPr>
          <w:rFonts w:ascii="Simplified Arabic" w:cs="Simplified Arabic" w:hint="cs"/>
          <w:color w:val="000000"/>
          <w:sz w:val="24"/>
          <w:szCs w:val="24"/>
          <w:rtl/>
        </w:rPr>
        <w:t>المجتمع</w:t>
      </w:r>
      <w:r w:rsidR="00CE730B" w:rsidRPr="000028AD">
        <w:rPr>
          <w:rFonts w:ascii="Simplified Arabic" w:cs="Simplified Arabic" w:hint="cs"/>
          <w:color w:val="000000"/>
          <w:sz w:val="24"/>
          <w:szCs w:val="24"/>
          <w:rtl/>
        </w:rPr>
        <w:t xml:space="preserve"> كافة</w:t>
      </w:r>
      <w:r w:rsidR="007B6E18" w:rsidRPr="000028AD">
        <w:rPr>
          <w:rFonts w:ascii="Simplified Arabic" w:cs="Simplified Arabic" w:hint="cs"/>
          <w:color w:val="000000"/>
          <w:sz w:val="24"/>
          <w:szCs w:val="24"/>
          <w:rtl/>
        </w:rPr>
        <w:t>.</w:t>
      </w:r>
    </w:p>
    <w:p w:rsidR="000028AD" w:rsidRDefault="000028AD" w:rsidP="000028AD">
      <w:pPr>
        <w:pStyle w:val="ListParagraph"/>
        <w:tabs>
          <w:tab w:val="left" w:pos="282"/>
        </w:tabs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0028AD" w:rsidRPr="000028AD" w:rsidRDefault="000028AD" w:rsidP="000028AD">
      <w:pPr>
        <w:pStyle w:val="ListParagraph"/>
        <w:tabs>
          <w:tab w:val="left" w:pos="282"/>
        </w:tabs>
        <w:jc w:val="both"/>
        <w:rPr>
          <w:rFonts w:ascii="Simplified Arabic" w:hAnsi="Simplified Arabic" w:cs="Simplified Arabic"/>
          <w:sz w:val="16"/>
          <w:szCs w:val="16"/>
        </w:rPr>
      </w:pPr>
    </w:p>
    <w:p w:rsidR="002246D0" w:rsidRPr="000028AD" w:rsidRDefault="002246D0" w:rsidP="002246D0">
      <w:pPr>
        <w:pStyle w:val="ListParagraph"/>
        <w:numPr>
          <w:ilvl w:val="0"/>
          <w:numId w:val="5"/>
        </w:numPr>
        <w:tabs>
          <w:tab w:val="left" w:pos="282"/>
        </w:tabs>
        <w:ind w:left="282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0028AD">
        <w:rPr>
          <w:rFonts w:ascii="Simplified Arabic" w:hAnsi="Simplified Arabic" w:cs="Simplified Arabic"/>
          <w:sz w:val="24"/>
          <w:szCs w:val="24"/>
          <w:rtl/>
        </w:rPr>
        <w:t>تم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اتباع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التوصيات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الدولية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تقدير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البيانات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المفقودة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والمشار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E730B" w:rsidRPr="000028AD">
        <w:rPr>
          <w:rFonts w:ascii="Simplified Arabic" w:hAnsi="Simplified Arabic" w:cs="Simplified Arabic" w:hint="cs"/>
          <w:sz w:val="24"/>
          <w:szCs w:val="24"/>
          <w:rtl/>
        </w:rPr>
        <w:t>إ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ل</w:t>
      </w:r>
      <w:r w:rsidR="00CE730B" w:rsidRPr="000028AD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ها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دليل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الأسعار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،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وتعد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طريقة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b/>
          <w:bCs/>
          <w:sz w:val="24"/>
          <w:szCs w:val="24"/>
          <w:rtl/>
        </w:rPr>
        <w:t>(</w:t>
      </w:r>
      <w:r w:rsidRPr="000028AD">
        <w:rPr>
          <w:rFonts w:ascii="Simplified Arabic" w:hAnsi="Simplified Arabic" w:cs="Simplified Arabic"/>
          <w:b/>
          <w:bCs/>
          <w:sz w:val="24"/>
          <w:szCs w:val="24"/>
        </w:rPr>
        <w:t>Group</w:t>
      </w:r>
      <w:r w:rsidR="00E0145F" w:rsidRPr="000028AD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028AD">
        <w:rPr>
          <w:rFonts w:ascii="Simplified Arabic" w:hAnsi="Simplified Arabic" w:cs="Simplified Arabic"/>
          <w:b/>
          <w:bCs/>
          <w:sz w:val="24"/>
          <w:szCs w:val="24"/>
        </w:rPr>
        <w:t>Relative</w:t>
      </w:r>
      <w:r w:rsidR="00E0145F" w:rsidRPr="000028AD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028AD">
        <w:rPr>
          <w:rFonts w:ascii="Simplified Arabic" w:hAnsi="Simplified Arabic" w:cs="Simplified Arabic"/>
          <w:b/>
          <w:bCs/>
          <w:sz w:val="24"/>
          <w:szCs w:val="24"/>
        </w:rPr>
        <w:t>Method</w:t>
      </w:r>
      <w:r w:rsidRPr="000028AD">
        <w:rPr>
          <w:rFonts w:ascii="Simplified Arabic" w:hAnsi="Simplified Arabic" w:cs="Simplified Arabic"/>
          <w:b/>
          <w:bCs/>
          <w:sz w:val="24"/>
          <w:szCs w:val="24"/>
          <w:rtl/>
        </w:rPr>
        <w:t>)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من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أفضل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الطرق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لمعالجة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البيانات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المفقودة،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وهي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عملية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تقدير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الأسعار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المفقودة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على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أساس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التغير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أسعار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باقي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المصادر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بالنسبة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للصنف</w:t>
      </w:r>
      <w:r w:rsidR="00CE730B" w:rsidRPr="000028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E730B" w:rsidRPr="000028AD">
        <w:rPr>
          <w:rFonts w:ascii="Simplified Arabic" w:hAnsi="Simplified Arabic" w:cs="Simplified Arabic"/>
          <w:sz w:val="24"/>
          <w:szCs w:val="24"/>
          <w:rtl/>
        </w:rPr>
        <w:t>نفس</w:t>
      </w:r>
      <w:r w:rsidR="00CE730B" w:rsidRPr="000028AD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.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وأما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حالة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إغلاق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مصدر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بأكمله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بصفة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مؤقتة</w:t>
      </w:r>
      <w:r w:rsidR="00CE730B" w:rsidRPr="000028AD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فيتم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تقدير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جميع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أسعار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ذلك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المصدر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على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أساس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التغير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أسعار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المصادر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التي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تشترك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الأصناف</w:t>
      </w:r>
      <w:r w:rsidR="00CE730B" w:rsidRPr="000028AD">
        <w:rPr>
          <w:rFonts w:ascii="Simplified Arabic" w:hAnsi="Simplified Arabic" w:cs="Simplified Arabic"/>
          <w:sz w:val="24"/>
          <w:szCs w:val="24"/>
          <w:rtl/>
        </w:rPr>
        <w:t xml:space="preserve"> نفس</w:t>
      </w:r>
      <w:r w:rsidR="00CE730B" w:rsidRPr="000028AD">
        <w:rPr>
          <w:rFonts w:ascii="Simplified Arabic" w:hAnsi="Simplified Arabic" w:cs="Simplified Arabic" w:hint="cs"/>
          <w:sz w:val="24"/>
          <w:szCs w:val="24"/>
          <w:rtl/>
        </w:rPr>
        <w:t>ها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التي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تجمع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من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هذا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المصدر.</w:t>
      </w:r>
    </w:p>
    <w:p w:rsidR="002246D0" w:rsidRPr="000028AD" w:rsidRDefault="002246D0" w:rsidP="0022202D">
      <w:pPr>
        <w:pStyle w:val="ListParagraph"/>
        <w:numPr>
          <w:ilvl w:val="0"/>
          <w:numId w:val="5"/>
        </w:numPr>
        <w:tabs>
          <w:tab w:val="left" w:pos="282"/>
        </w:tabs>
        <w:ind w:left="282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0028AD">
        <w:rPr>
          <w:rFonts w:ascii="Simplified Arabic" w:hAnsi="Simplified Arabic" w:cs="Simplified Arabic"/>
          <w:sz w:val="24"/>
          <w:szCs w:val="24"/>
          <w:rtl/>
        </w:rPr>
        <w:t>كما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تم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استخدام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التقدير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على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مستوى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التجميع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الأعلى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b/>
          <w:bCs/>
          <w:sz w:val="24"/>
          <w:szCs w:val="24"/>
        </w:rPr>
        <w:t>(Next</w:t>
      </w:r>
      <w:r w:rsidR="00E0145F" w:rsidRPr="000028AD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028AD">
        <w:rPr>
          <w:rFonts w:ascii="Simplified Arabic" w:hAnsi="Simplified Arabic" w:cs="Simplified Arabic"/>
          <w:b/>
          <w:bCs/>
          <w:sz w:val="24"/>
          <w:szCs w:val="24"/>
        </w:rPr>
        <w:t>Level</w:t>
      </w:r>
      <w:r w:rsidR="00E0145F" w:rsidRPr="000028AD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028AD">
        <w:rPr>
          <w:rFonts w:ascii="Simplified Arabic" w:hAnsi="Simplified Arabic" w:cs="Simplified Arabic"/>
          <w:b/>
          <w:bCs/>
          <w:sz w:val="24"/>
          <w:szCs w:val="24"/>
        </w:rPr>
        <w:t>Up</w:t>
      </w:r>
      <w:r w:rsidR="00E0145F" w:rsidRPr="000028AD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028AD">
        <w:rPr>
          <w:rFonts w:ascii="Simplified Arabic" w:hAnsi="Simplified Arabic" w:cs="Simplified Arabic"/>
          <w:b/>
          <w:bCs/>
          <w:sz w:val="24"/>
          <w:szCs w:val="24"/>
        </w:rPr>
        <w:t>in</w:t>
      </w:r>
      <w:r w:rsidR="00E0145F" w:rsidRPr="000028AD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028AD">
        <w:rPr>
          <w:rFonts w:ascii="Simplified Arabic" w:hAnsi="Simplified Arabic" w:cs="Simplified Arabic"/>
          <w:b/>
          <w:bCs/>
          <w:sz w:val="24"/>
          <w:szCs w:val="24"/>
        </w:rPr>
        <w:t>Aggregation)</w:t>
      </w:r>
      <w:r w:rsidR="00E0145F" w:rsidRPr="000028A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حال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اختفاء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رقم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قياسي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لمجموعة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فرعية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كاملة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أو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مجموعة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على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وصولاً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E730B" w:rsidRPr="000028AD">
        <w:rPr>
          <w:rFonts w:ascii="Simplified Arabic" w:hAnsi="Simplified Arabic" w:cs="Simplified Arabic" w:hint="cs"/>
          <w:sz w:val="24"/>
          <w:szCs w:val="24"/>
          <w:rtl/>
        </w:rPr>
        <w:t>إ</w:t>
      </w:r>
      <w:r w:rsidR="00CE730B" w:rsidRPr="000028AD">
        <w:rPr>
          <w:rFonts w:ascii="Simplified Arabic" w:hAnsi="Simplified Arabic" w:cs="Simplified Arabic"/>
          <w:sz w:val="24"/>
          <w:szCs w:val="24"/>
          <w:rtl/>
        </w:rPr>
        <w:t xml:space="preserve">لى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المجموعات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الرئيسية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المكونة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للرقم</w:t>
      </w:r>
      <w:r w:rsidR="00E0145F" w:rsidRPr="000028A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028AD">
        <w:rPr>
          <w:rFonts w:ascii="Simplified Arabic" w:hAnsi="Simplified Arabic" w:cs="Simplified Arabic"/>
          <w:sz w:val="24"/>
          <w:szCs w:val="24"/>
          <w:rtl/>
        </w:rPr>
        <w:t>القياسي.</w:t>
      </w:r>
    </w:p>
    <w:p w:rsidR="00636976" w:rsidRPr="000028AD" w:rsidRDefault="00636976" w:rsidP="00636976">
      <w:pPr>
        <w:pStyle w:val="ListParagraph"/>
        <w:tabs>
          <w:tab w:val="left" w:pos="282"/>
        </w:tabs>
        <w:jc w:val="both"/>
        <w:rPr>
          <w:rFonts w:ascii="Simplified Arabic" w:hAnsi="Simplified Arabic" w:cs="Simplified Arabic"/>
          <w:sz w:val="24"/>
          <w:szCs w:val="24"/>
        </w:rPr>
      </w:pPr>
    </w:p>
    <w:p w:rsidR="006C541D" w:rsidRPr="00784C29" w:rsidRDefault="006C541D" w:rsidP="006C541D">
      <w:pPr>
        <w:pStyle w:val="ListParagraph"/>
        <w:tabs>
          <w:tab w:val="left" w:pos="282"/>
        </w:tabs>
        <w:jc w:val="both"/>
        <w:rPr>
          <w:rFonts w:ascii="Simplified Arabic" w:hAnsi="Simplified Arabic" w:cs="Simplified Arabic"/>
          <w:sz w:val="2"/>
          <w:szCs w:val="2"/>
          <w:rtl/>
        </w:rPr>
      </w:pPr>
    </w:p>
    <w:p w:rsidR="008C5259" w:rsidRDefault="008C5259" w:rsidP="006C541D">
      <w:pPr>
        <w:jc w:val="both"/>
        <w:rPr>
          <w:rFonts w:cs="Simplified Arabic" w:hint="cs"/>
          <w:b/>
          <w:bCs/>
          <w:sz w:val="18"/>
          <w:szCs w:val="18"/>
          <w:rtl/>
        </w:rPr>
      </w:pPr>
    </w:p>
    <w:sectPr w:rsidR="008C5259" w:rsidSect="005329E4">
      <w:footerReference w:type="even" r:id="rId11"/>
      <w:footerReference w:type="default" r:id="rId12"/>
      <w:pgSz w:w="11907" w:h="16840" w:code="9"/>
      <w:pgMar w:top="1134" w:right="1134" w:bottom="1134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225" w:rsidRDefault="00181225">
      <w:r>
        <w:separator/>
      </w:r>
    </w:p>
  </w:endnote>
  <w:endnote w:type="continuationSeparator" w:id="0">
    <w:p w:rsidR="00181225" w:rsidRDefault="0018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ED" w:rsidRDefault="00113CE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13CED" w:rsidRDefault="00113CE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8AD" w:rsidRDefault="000028A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0BEE">
      <w:rPr>
        <w:noProof/>
        <w:rtl/>
      </w:rPr>
      <w:t>2</w:t>
    </w:r>
    <w:r>
      <w:rPr>
        <w:noProof/>
      </w:rPr>
      <w:fldChar w:fldCharType="end"/>
    </w:r>
  </w:p>
  <w:p w:rsidR="000028AD" w:rsidRDefault="00002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225" w:rsidRDefault="00181225">
      <w:r>
        <w:separator/>
      </w:r>
    </w:p>
  </w:footnote>
  <w:footnote w:type="continuationSeparator" w:id="0">
    <w:p w:rsidR="00181225" w:rsidRDefault="00181225">
      <w:r>
        <w:continuationSeparator/>
      </w:r>
    </w:p>
  </w:footnote>
  <w:footnote w:id="1">
    <w:p w:rsidR="0070069C" w:rsidRDefault="0070069C" w:rsidP="0070069C">
      <w:pPr>
        <w:pStyle w:val="FootnoteText"/>
        <w:jc w:val="both"/>
        <w:rPr>
          <w:rtl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 مخصوماً منها ضريبة القيمة المضافة، أو أية ضرائب مقتطعة أخرى توضع على فاتورة المشتري، وغير شاملة أية تكاليف نقل</w:t>
      </w:r>
      <w:r>
        <w:rPr>
          <w:rFonts w:cs="Simplified Arabic" w:hint="cs"/>
          <w:color w:val="000000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A3A"/>
    <w:multiLevelType w:val="hybridMultilevel"/>
    <w:tmpl w:val="754A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8BE"/>
    <w:multiLevelType w:val="hybridMultilevel"/>
    <w:tmpl w:val="1F5C76B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9F82982"/>
    <w:multiLevelType w:val="hybridMultilevel"/>
    <w:tmpl w:val="3236B1DE"/>
    <w:lvl w:ilvl="0" w:tplc="1BF2633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A52"/>
    <w:multiLevelType w:val="hybridMultilevel"/>
    <w:tmpl w:val="D69005A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JO" w:vendorID="64" w:dllVersion="131078" w:nlCheck="1" w:checkStyle="0"/>
  <w:activeWritingStyle w:appName="MSWord" w:lang="ar-SA" w:vendorID="64" w:dllVersion="0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D82"/>
    <w:rsid w:val="00002733"/>
    <w:rsid w:val="000028AD"/>
    <w:rsid w:val="000037E3"/>
    <w:rsid w:val="00003B3D"/>
    <w:rsid w:val="000061AC"/>
    <w:rsid w:val="00006834"/>
    <w:rsid w:val="00006C88"/>
    <w:rsid w:val="000079F4"/>
    <w:rsid w:val="000110FE"/>
    <w:rsid w:val="00011D33"/>
    <w:rsid w:val="000120F6"/>
    <w:rsid w:val="00012214"/>
    <w:rsid w:val="00012647"/>
    <w:rsid w:val="00012953"/>
    <w:rsid w:val="000131FA"/>
    <w:rsid w:val="00013A2D"/>
    <w:rsid w:val="00013ACF"/>
    <w:rsid w:val="00013C13"/>
    <w:rsid w:val="00014E61"/>
    <w:rsid w:val="00015E34"/>
    <w:rsid w:val="0002036C"/>
    <w:rsid w:val="000206E0"/>
    <w:rsid w:val="00020EF4"/>
    <w:rsid w:val="0002157A"/>
    <w:rsid w:val="000219F5"/>
    <w:rsid w:val="000233E3"/>
    <w:rsid w:val="000233EE"/>
    <w:rsid w:val="00024455"/>
    <w:rsid w:val="0002509D"/>
    <w:rsid w:val="000251B4"/>
    <w:rsid w:val="00025965"/>
    <w:rsid w:val="000301BA"/>
    <w:rsid w:val="00032274"/>
    <w:rsid w:val="00034FBD"/>
    <w:rsid w:val="00035DC3"/>
    <w:rsid w:val="00036685"/>
    <w:rsid w:val="00036B0B"/>
    <w:rsid w:val="00036EE8"/>
    <w:rsid w:val="00037543"/>
    <w:rsid w:val="00037AAB"/>
    <w:rsid w:val="00037B2D"/>
    <w:rsid w:val="000404C6"/>
    <w:rsid w:val="00040DDF"/>
    <w:rsid w:val="00040FA2"/>
    <w:rsid w:val="0004184F"/>
    <w:rsid w:val="00041987"/>
    <w:rsid w:val="00041995"/>
    <w:rsid w:val="00041D7A"/>
    <w:rsid w:val="000436E1"/>
    <w:rsid w:val="00043997"/>
    <w:rsid w:val="0004441C"/>
    <w:rsid w:val="000447C3"/>
    <w:rsid w:val="00044805"/>
    <w:rsid w:val="0004502D"/>
    <w:rsid w:val="0004588F"/>
    <w:rsid w:val="00045F94"/>
    <w:rsid w:val="000529B6"/>
    <w:rsid w:val="00054416"/>
    <w:rsid w:val="00054DAC"/>
    <w:rsid w:val="000550D4"/>
    <w:rsid w:val="000551FF"/>
    <w:rsid w:val="00056186"/>
    <w:rsid w:val="00056B6A"/>
    <w:rsid w:val="00056E9D"/>
    <w:rsid w:val="00056FE6"/>
    <w:rsid w:val="00057EA6"/>
    <w:rsid w:val="00060A76"/>
    <w:rsid w:val="00060C22"/>
    <w:rsid w:val="00061649"/>
    <w:rsid w:val="000621CB"/>
    <w:rsid w:val="00062B84"/>
    <w:rsid w:val="00063753"/>
    <w:rsid w:val="00065B96"/>
    <w:rsid w:val="00065F9A"/>
    <w:rsid w:val="000672B5"/>
    <w:rsid w:val="000701FA"/>
    <w:rsid w:val="00072A98"/>
    <w:rsid w:val="00072D05"/>
    <w:rsid w:val="00072E99"/>
    <w:rsid w:val="0007375C"/>
    <w:rsid w:val="000739DB"/>
    <w:rsid w:val="000745DF"/>
    <w:rsid w:val="00074BDB"/>
    <w:rsid w:val="00075837"/>
    <w:rsid w:val="00075E4C"/>
    <w:rsid w:val="00076ACB"/>
    <w:rsid w:val="00077E43"/>
    <w:rsid w:val="00077EC9"/>
    <w:rsid w:val="00080277"/>
    <w:rsid w:val="00080456"/>
    <w:rsid w:val="00080AFB"/>
    <w:rsid w:val="00081602"/>
    <w:rsid w:val="000819B0"/>
    <w:rsid w:val="00081D43"/>
    <w:rsid w:val="00082F65"/>
    <w:rsid w:val="00083805"/>
    <w:rsid w:val="00083C4D"/>
    <w:rsid w:val="00083F8D"/>
    <w:rsid w:val="0008754A"/>
    <w:rsid w:val="00090D5F"/>
    <w:rsid w:val="000912AE"/>
    <w:rsid w:val="00091937"/>
    <w:rsid w:val="0009267D"/>
    <w:rsid w:val="00092FB8"/>
    <w:rsid w:val="00093177"/>
    <w:rsid w:val="00093392"/>
    <w:rsid w:val="000933AA"/>
    <w:rsid w:val="0009342A"/>
    <w:rsid w:val="00094564"/>
    <w:rsid w:val="0009485C"/>
    <w:rsid w:val="00095AB6"/>
    <w:rsid w:val="00095FE6"/>
    <w:rsid w:val="000967AC"/>
    <w:rsid w:val="00096B23"/>
    <w:rsid w:val="00096E0D"/>
    <w:rsid w:val="00097BF2"/>
    <w:rsid w:val="000A0DE6"/>
    <w:rsid w:val="000A1964"/>
    <w:rsid w:val="000A1B38"/>
    <w:rsid w:val="000A2B8D"/>
    <w:rsid w:val="000A3C82"/>
    <w:rsid w:val="000A531F"/>
    <w:rsid w:val="000A5629"/>
    <w:rsid w:val="000A6293"/>
    <w:rsid w:val="000A6686"/>
    <w:rsid w:val="000A7571"/>
    <w:rsid w:val="000B0A6B"/>
    <w:rsid w:val="000B0B0C"/>
    <w:rsid w:val="000B0F30"/>
    <w:rsid w:val="000B246F"/>
    <w:rsid w:val="000B2AFF"/>
    <w:rsid w:val="000B3A77"/>
    <w:rsid w:val="000B41AE"/>
    <w:rsid w:val="000B4BC0"/>
    <w:rsid w:val="000B53BE"/>
    <w:rsid w:val="000B5519"/>
    <w:rsid w:val="000B6F8E"/>
    <w:rsid w:val="000B76B7"/>
    <w:rsid w:val="000B7A58"/>
    <w:rsid w:val="000C2C8F"/>
    <w:rsid w:val="000C3905"/>
    <w:rsid w:val="000C3C5F"/>
    <w:rsid w:val="000C3E34"/>
    <w:rsid w:val="000C536B"/>
    <w:rsid w:val="000C5EE6"/>
    <w:rsid w:val="000C6456"/>
    <w:rsid w:val="000C6740"/>
    <w:rsid w:val="000D00C3"/>
    <w:rsid w:val="000D09FD"/>
    <w:rsid w:val="000D1141"/>
    <w:rsid w:val="000D11BC"/>
    <w:rsid w:val="000D141A"/>
    <w:rsid w:val="000D2E80"/>
    <w:rsid w:val="000D3D9E"/>
    <w:rsid w:val="000D3FC9"/>
    <w:rsid w:val="000D5322"/>
    <w:rsid w:val="000D5B95"/>
    <w:rsid w:val="000D5FA6"/>
    <w:rsid w:val="000D6230"/>
    <w:rsid w:val="000D69A5"/>
    <w:rsid w:val="000E2D4E"/>
    <w:rsid w:val="000E7D2B"/>
    <w:rsid w:val="000E7EFF"/>
    <w:rsid w:val="000F0454"/>
    <w:rsid w:val="000F095E"/>
    <w:rsid w:val="000F0F36"/>
    <w:rsid w:val="000F2205"/>
    <w:rsid w:val="000F2873"/>
    <w:rsid w:val="000F2FB5"/>
    <w:rsid w:val="000F3232"/>
    <w:rsid w:val="000F3280"/>
    <w:rsid w:val="000F4EA8"/>
    <w:rsid w:val="000F50A9"/>
    <w:rsid w:val="000F5BCF"/>
    <w:rsid w:val="000F5EF6"/>
    <w:rsid w:val="000F71F5"/>
    <w:rsid w:val="000F7A5F"/>
    <w:rsid w:val="00100BE5"/>
    <w:rsid w:val="00103284"/>
    <w:rsid w:val="0010481A"/>
    <w:rsid w:val="00104E8F"/>
    <w:rsid w:val="00104EC7"/>
    <w:rsid w:val="001060AC"/>
    <w:rsid w:val="0010676C"/>
    <w:rsid w:val="00107A44"/>
    <w:rsid w:val="0011010A"/>
    <w:rsid w:val="00110A08"/>
    <w:rsid w:val="001133A8"/>
    <w:rsid w:val="00113CED"/>
    <w:rsid w:val="00113D9C"/>
    <w:rsid w:val="00113E67"/>
    <w:rsid w:val="0011561F"/>
    <w:rsid w:val="00115B46"/>
    <w:rsid w:val="00115D71"/>
    <w:rsid w:val="00120375"/>
    <w:rsid w:val="00120F8A"/>
    <w:rsid w:val="001211FD"/>
    <w:rsid w:val="00124114"/>
    <w:rsid w:val="001258BE"/>
    <w:rsid w:val="00126892"/>
    <w:rsid w:val="00131B11"/>
    <w:rsid w:val="00131EEE"/>
    <w:rsid w:val="00132478"/>
    <w:rsid w:val="00132613"/>
    <w:rsid w:val="00132630"/>
    <w:rsid w:val="00132C19"/>
    <w:rsid w:val="00132F9A"/>
    <w:rsid w:val="001345D5"/>
    <w:rsid w:val="00135198"/>
    <w:rsid w:val="001356EB"/>
    <w:rsid w:val="00135FA4"/>
    <w:rsid w:val="001367A8"/>
    <w:rsid w:val="00137249"/>
    <w:rsid w:val="00137345"/>
    <w:rsid w:val="0014044D"/>
    <w:rsid w:val="001407FA"/>
    <w:rsid w:val="00143315"/>
    <w:rsid w:val="0014383B"/>
    <w:rsid w:val="00143C28"/>
    <w:rsid w:val="00144DB0"/>
    <w:rsid w:val="00145FAF"/>
    <w:rsid w:val="00147B8F"/>
    <w:rsid w:val="001500F0"/>
    <w:rsid w:val="00150734"/>
    <w:rsid w:val="00150A38"/>
    <w:rsid w:val="00150D92"/>
    <w:rsid w:val="001513D9"/>
    <w:rsid w:val="001530F6"/>
    <w:rsid w:val="00153460"/>
    <w:rsid w:val="0015553E"/>
    <w:rsid w:val="00156BA5"/>
    <w:rsid w:val="00156FD7"/>
    <w:rsid w:val="00157077"/>
    <w:rsid w:val="00157222"/>
    <w:rsid w:val="001600FB"/>
    <w:rsid w:val="00160C65"/>
    <w:rsid w:val="00161E46"/>
    <w:rsid w:val="001629FE"/>
    <w:rsid w:val="00162C17"/>
    <w:rsid w:val="001634F3"/>
    <w:rsid w:val="00164B58"/>
    <w:rsid w:val="001660ED"/>
    <w:rsid w:val="00166348"/>
    <w:rsid w:val="001710AE"/>
    <w:rsid w:val="00171F60"/>
    <w:rsid w:val="00172A1D"/>
    <w:rsid w:val="00173860"/>
    <w:rsid w:val="00175797"/>
    <w:rsid w:val="00175DA3"/>
    <w:rsid w:val="00180058"/>
    <w:rsid w:val="00181225"/>
    <w:rsid w:val="00183364"/>
    <w:rsid w:val="0018344D"/>
    <w:rsid w:val="0018482B"/>
    <w:rsid w:val="00185FD8"/>
    <w:rsid w:val="00187094"/>
    <w:rsid w:val="00187D30"/>
    <w:rsid w:val="00190A13"/>
    <w:rsid w:val="00190A23"/>
    <w:rsid w:val="00192528"/>
    <w:rsid w:val="00193023"/>
    <w:rsid w:val="0019325E"/>
    <w:rsid w:val="00193BCC"/>
    <w:rsid w:val="0019454B"/>
    <w:rsid w:val="00194BE8"/>
    <w:rsid w:val="001950EB"/>
    <w:rsid w:val="0019567E"/>
    <w:rsid w:val="0019607B"/>
    <w:rsid w:val="001963BF"/>
    <w:rsid w:val="001A01E7"/>
    <w:rsid w:val="001A038B"/>
    <w:rsid w:val="001A0D59"/>
    <w:rsid w:val="001A1677"/>
    <w:rsid w:val="001A18B0"/>
    <w:rsid w:val="001A18B1"/>
    <w:rsid w:val="001A1F09"/>
    <w:rsid w:val="001A3DF8"/>
    <w:rsid w:val="001A42E0"/>
    <w:rsid w:val="001A4C70"/>
    <w:rsid w:val="001A57DE"/>
    <w:rsid w:val="001A61EA"/>
    <w:rsid w:val="001B02F6"/>
    <w:rsid w:val="001B1AF0"/>
    <w:rsid w:val="001B1B90"/>
    <w:rsid w:val="001B1EC2"/>
    <w:rsid w:val="001B62AE"/>
    <w:rsid w:val="001B73D4"/>
    <w:rsid w:val="001C0AD2"/>
    <w:rsid w:val="001C2647"/>
    <w:rsid w:val="001C2E72"/>
    <w:rsid w:val="001C3022"/>
    <w:rsid w:val="001C3EB7"/>
    <w:rsid w:val="001C52CC"/>
    <w:rsid w:val="001C5A8E"/>
    <w:rsid w:val="001C68D6"/>
    <w:rsid w:val="001C78E6"/>
    <w:rsid w:val="001C7F5D"/>
    <w:rsid w:val="001D048D"/>
    <w:rsid w:val="001D0618"/>
    <w:rsid w:val="001D0780"/>
    <w:rsid w:val="001D25F9"/>
    <w:rsid w:val="001D271F"/>
    <w:rsid w:val="001D2AD9"/>
    <w:rsid w:val="001D3269"/>
    <w:rsid w:val="001D45D4"/>
    <w:rsid w:val="001D4601"/>
    <w:rsid w:val="001D4AEF"/>
    <w:rsid w:val="001D4D34"/>
    <w:rsid w:val="001D4F13"/>
    <w:rsid w:val="001D50D6"/>
    <w:rsid w:val="001D5AB3"/>
    <w:rsid w:val="001D69F8"/>
    <w:rsid w:val="001D6DDA"/>
    <w:rsid w:val="001D73B2"/>
    <w:rsid w:val="001D7807"/>
    <w:rsid w:val="001E0D7E"/>
    <w:rsid w:val="001E1222"/>
    <w:rsid w:val="001E1281"/>
    <w:rsid w:val="001E1534"/>
    <w:rsid w:val="001E27C6"/>
    <w:rsid w:val="001E4833"/>
    <w:rsid w:val="001E538F"/>
    <w:rsid w:val="001E5391"/>
    <w:rsid w:val="001E5727"/>
    <w:rsid w:val="001E5782"/>
    <w:rsid w:val="001E58FE"/>
    <w:rsid w:val="001E5A32"/>
    <w:rsid w:val="001E7339"/>
    <w:rsid w:val="001F0A7B"/>
    <w:rsid w:val="001F1B29"/>
    <w:rsid w:val="001F1B3A"/>
    <w:rsid w:val="001F23A1"/>
    <w:rsid w:val="001F2D13"/>
    <w:rsid w:val="001F309A"/>
    <w:rsid w:val="001F3B78"/>
    <w:rsid w:val="001F47D5"/>
    <w:rsid w:val="001F6626"/>
    <w:rsid w:val="001F6C1F"/>
    <w:rsid w:val="00200769"/>
    <w:rsid w:val="00200C15"/>
    <w:rsid w:val="0020166C"/>
    <w:rsid w:val="002019EA"/>
    <w:rsid w:val="002021F0"/>
    <w:rsid w:val="002039B6"/>
    <w:rsid w:val="002044D3"/>
    <w:rsid w:val="00204918"/>
    <w:rsid w:val="002059E1"/>
    <w:rsid w:val="00205DE6"/>
    <w:rsid w:val="002070B9"/>
    <w:rsid w:val="002110AC"/>
    <w:rsid w:val="002124F1"/>
    <w:rsid w:val="0021294A"/>
    <w:rsid w:val="00212D0B"/>
    <w:rsid w:val="002165DF"/>
    <w:rsid w:val="00217AF4"/>
    <w:rsid w:val="002209A1"/>
    <w:rsid w:val="0022202D"/>
    <w:rsid w:val="002232C4"/>
    <w:rsid w:val="00223833"/>
    <w:rsid w:val="002246D0"/>
    <w:rsid w:val="002257CA"/>
    <w:rsid w:val="002260EB"/>
    <w:rsid w:val="002261D8"/>
    <w:rsid w:val="002267AE"/>
    <w:rsid w:val="00227099"/>
    <w:rsid w:val="00227751"/>
    <w:rsid w:val="002347D5"/>
    <w:rsid w:val="00234C9F"/>
    <w:rsid w:val="00235870"/>
    <w:rsid w:val="002364FD"/>
    <w:rsid w:val="00237DEA"/>
    <w:rsid w:val="00237DF2"/>
    <w:rsid w:val="0024109B"/>
    <w:rsid w:val="002422CE"/>
    <w:rsid w:val="00242643"/>
    <w:rsid w:val="00242C20"/>
    <w:rsid w:val="00242DEF"/>
    <w:rsid w:val="00243704"/>
    <w:rsid w:val="00244014"/>
    <w:rsid w:val="00244ABA"/>
    <w:rsid w:val="0024513A"/>
    <w:rsid w:val="0024604E"/>
    <w:rsid w:val="0024781C"/>
    <w:rsid w:val="002502E8"/>
    <w:rsid w:val="002522E7"/>
    <w:rsid w:val="00253E56"/>
    <w:rsid w:val="00254D50"/>
    <w:rsid w:val="00256594"/>
    <w:rsid w:val="00256736"/>
    <w:rsid w:val="00257258"/>
    <w:rsid w:val="002607BB"/>
    <w:rsid w:val="002608D7"/>
    <w:rsid w:val="00263A46"/>
    <w:rsid w:val="00263B6B"/>
    <w:rsid w:val="00264E1F"/>
    <w:rsid w:val="0026521B"/>
    <w:rsid w:val="00265F11"/>
    <w:rsid w:val="00271428"/>
    <w:rsid w:val="00271B96"/>
    <w:rsid w:val="00271C3C"/>
    <w:rsid w:val="00271CDA"/>
    <w:rsid w:val="00273185"/>
    <w:rsid w:val="00273CF1"/>
    <w:rsid w:val="00274D8E"/>
    <w:rsid w:val="00275242"/>
    <w:rsid w:val="002758FB"/>
    <w:rsid w:val="00275A0D"/>
    <w:rsid w:val="00275FAC"/>
    <w:rsid w:val="002804E2"/>
    <w:rsid w:val="00280D55"/>
    <w:rsid w:val="002817AA"/>
    <w:rsid w:val="002818BD"/>
    <w:rsid w:val="00281A23"/>
    <w:rsid w:val="002853A8"/>
    <w:rsid w:val="002878C0"/>
    <w:rsid w:val="002904E6"/>
    <w:rsid w:val="00290885"/>
    <w:rsid w:val="002909E6"/>
    <w:rsid w:val="00291D2C"/>
    <w:rsid w:val="00291F38"/>
    <w:rsid w:val="0029497E"/>
    <w:rsid w:val="002A1C8D"/>
    <w:rsid w:val="002A22C8"/>
    <w:rsid w:val="002A35F9"/>
    <w:rsid w:val="002A419C"/>
    <w:rsid w:val="002A6B24"/>
    <w:rsid w:val="002A73C5"/>
    <w:rsid w:val="002B1480"/>
    <w:rsid w:val="002B1A99"/>
    <w:rsid w:val="002B1EEA"/>
    <w:rsid w:val="002B24D1"/>
    <w:rsid w:val="002B24E8"/>
    <w:rsid w:val="002B2AB0"/>
    <w:rsid w:val="002B375C"/>
    <w:rsid w:val="002B37CC"/>
    <w:rsid w:val="002B390F"/>
    <w:rsid w:val="002B397F"/>
    <w:rsid w:val="002B5777"/>
    <w:rsid w:val="002B5A5D"/>
    <w:rsid w:val="002B6AFB"/>
    <w:rsid w:val="002B7C17"/>
    <w:rsid w:val="002C0F01"/>
    <w:rsid w:val="002C0F6A"/>
    <w:rsid w:val="002C19F3"/>
    <w:rsid w:val="002C1FE4"/>
    <w:rsid w:val="002C2D37"/>
    <w:rsid w:val="002C4901"/>
    <w:rsid w:val="002C544D"/>
    <w:rsid w:val="002D294E"/>
    <w:rsid w:val="002D3FDE"/>
    <w:rsid w:val="002D4512"/>
    <w:rsid w:val="002D46E3"/>
    <w:rsid w:val="002D5691"/>
    <w:rsid w:val="002D5738"/>
    <w:rsid w:val="002D76E1"/>
    <w:rsid w:val="002E03AB"/>
    <w:rsid w:val="002E0A6D"/>
    <w:rsid w:val="002E134D"/>
    <w:rsid w:val="002E1B44"/>
    <w:rsid w:val="002E4052"/>
    <w:rsid w:val="002E484D"/>
    <w:rsid w:val="002E4FDD"/>
    <w:rsid w:val="002E50D2"/>
    <w:rsid w:val="002E5435"/>
    <w:rsid w:val="002E5727"/>
    <w:rsid w:val="002E5EB6"/>
    <w:rsid w:val="002E6DF2"/>
    <w:rsid w:val="002E70D5"/>
    <w:rsid w:val="002E7945"/>
    <w:rsid w:val="002F032C"/>
    <w:rsid w:val="002F114A"/>
    <w:rsid w:val="002F23D2"/>
    <w:rsid w:val="002F3AAF"/>
    <w:rsid w:val="002F3B29"/>
    <w:rsid w:val="002F3D70"/>
    <w:rsid w:val="002F4F58"/>
    <w:rsid w:val="002F5838"/>
    <w:rsid w:val="002F6363"/>
    <w:rsid w:val="002F721B"/>
    <w:rsid w:val="002F7784"/>
    <w:rsid w:val="002F7B99"/>
    <w:rsid w:val="0030004D"/>
    <w:rsid w:val="003001E7"/>
    <w:rsid w:val="00304391"/>
    <w:rsid w:val="0030501E"/>
    <w:rsid w:val="00307F1D"/>
    <w:rsid w:val="0031088B"/>
    <w:rsid w:val="00310F91"/>
    <w:rsid w:val="0031208B"/>
    <w:rsid w:val="00313320"/>
    <w:rsid w:val="003133AA"/>
    <w:rsid w:val="003138A1"/>
    <w:rsid w:val="00313BA8"/>
    <w:rsid w:val="00313ECF"/>
    <w:rsid w:val="00320BE9"/>
    <w:rsid w:val="0032126F"/>
    <w:rsid w:val="00321FFE"/>
    <w:rsid w:val="00323CC0"/>
    <w:rsid w:val="003243CA"/>
    <w:rsid w:val="003246A6"/>
    <w:rsid w:val="00324E38"/>
    <w:rsid w:val="003253FD"/>
    <w:rsid w:val="00326757"/>
    <w:rsid w:val="003275BF"/>
    <w:rsid w:val="00331819"/>
    <w:rsid w:val="003320D4"/>
    <w:rsid w:val="003328A9"/>
    <w:rsid w:val="003328B4"/>
    <w:rsid w:val="00332A67"/>
    <w:rsid w:val="00332CA6"/>
    <w:rsid w:val="0033417A"/>
    <w:rsid w:val="0033469E"/>
    <w:rsid w:val="00334B29"/>
    <w:rsid w:val="00334D11"/>
    <w:rsid w:val="003351D9"/>
    <w:rsid w:val="003362C3"/>
    <w:rsid w:val="0033767E"/>
    <w:rsid w:val="003417D8"/>
    <w:rsid w:val="00341BB9"/>
    <w:rsid w:val="0034225F"/>
    <w:rsid w:val="00344737"/>
    <w:rsid w:val="00344DF4"/>
    <w:rsid w:val="00345366"/>
    <w:rsid w:val="00347683"/>
    <w:rsid w:val="00347E8E"/>
    <w:rsid w:val="00350489"/>
    <w:rsid w:val="003512EB"/>
    <w:rsid w:val="003529FF"/>
    <w:rsid w:val="00352F5D"/>
    <w:rsid w:val="00353183"/>
    <w:rsid w:val="00354E50"/>
    <w:rsid w:val="00355D5F"/>
    <w:rsid w:val="00356AF4"/>
    <w:rsid w:val="00356F47"/>
    <w:rsid w:val="0035782B"/>
    <w:rsid w:val="00357939"/>
    <w:rsid w:val="00357964"/>
    <w:rsid w:val="003600B5"/>
    <w:rsid w:val="00362E09"/>
    <w:rsid w:val="00364E7A"/>
    <w:rsid w:val="003652F3"/>
    <w:rsid w:val="003656B4"/>
    <w:rsid w:val="003657B5"/>
    <w:rsid w:val="00365BAB"/>
    <w:rsid w:val="00365C19"/>
    <w:rsid w:val="00366130"/>
    <w:rsid w:val="00371DBE"/>
    <w:rsid w:val="00374166"/>
    <w:rsid w:val="003748E6"/>
    <w:rsid w:val="00374A12"/>
    <w:rsid w:val="00374AF3"/>
    <w:rsid w:val="003752FF"/>
    <w:rsid w:val="0037683A"/>
    <w:rsid w:val="003773A0"/>
    <w:rsid w:val="003773C2"/>
    <w:rsid w:val="00380176"/>
    <w:rsid w:val="003802BC"/>
    <w:rsid w:val="00381956"/>
    <w:rsid w:val="00382080"/>
    <w:rsid w:val="00382803"/>
    <w:rsid w:val="00383EBB"/>
    <w:rsid w:val="00384DB8"/>
    <w:rsid w:val="00385C83"/>
    <w:rsid w:val="00385F0B"/>
    <w:rsid w:val="00387A95"/>
    <w:rsid w:val="00387CAB"/>
    <w:rsid w:val="00390224"/>
    <w:rsid w:val="00390F38"/>
    <w:rsid w:val="00391468"/>
    <w:rsid w:val="003918AB"/>
    <w:rsid w:val="003918BF"/>
    <w:rsid w:val="00391BD4"/>
    <w:rsid w:val="0039229F"/>
    <w:rsid w:val="00394CB3"/>
    <w:rsid w:val="0039548E"/>
    <w:rsid w:val="00395582"/>
    <w:rsid w:val="00395EEF"/>
    <w:rsid w:val="00396CD6"/>
    <w:rsid w:val="0039736B"/>
    <w:rsid w:val="003A0BAE"/>
    <w:rsid w:val="003A1AA9"/>
    <w:rsid w:val="003A245D"/>
    <w:rsid w:val="003A35A5"/>
    <w:rsid w:val="003A463D"/>
    <w:rsid w:val="003A56B7"/>
    <w:rsid w:val="003A593C"/>
    <w:rsid w:val="003A5F81"/>
    <w:rsid w:val="003A665F"/>
    <w:rsid w:val="003A7404"/>
    <w:rsid w:val="003A7FF3"/>
    <w:rsid w:val="003B064B"/>
    <w:rsid w:val="003B0797"/>
    <w:rsid w:val="003B240D"/>
    <w:rsid w:val="003B2A44"/>
    <w:rsid w:val="003B2C8C"/>
    <w:rsid w:val="003B3417"/>
    <w:rsid w:val="003B67A9"/>
    <w:rsid w:val="003B71FD"/>
    <w:rsid w:val="003B7A73"/>
    <w:rsid w:val="003C1216"/>
    <w:rsid w:val="003C1F5A"/>
    <w:rsid w:val="003C4042"/>
    <w:rsid w:val="003C52CA"/>
    <w:rsid w:val="003C5DDF"/>
    <w:rsid w:val="003C721F"/>
    <w:rsid w:val="003C769C"/>
    <w:rsid w:val="003C7825"/>
    <w:rsid w:val="003D1160"/>
    <w:rsid w:val="003D2B2C"/>
    <w:rsid w:val="003D3E88"/>
    <w:rsid w:val="003D4FBB"/>
    <w:rsid w:val="003D70D9"/>
    <w:rsid w:val="003D7E43"/>
    <w:rsid w:val="003E03F4"/>
    <w:rsid w:val="003E0ED7"/>
    <w:rsid w:val="003E1522"/>
    <w:rsid w:val="003E340D"/>
    <w:rsid w:val="003E5D30"/>
    <w:rsid w:val="003E6514"/>
    <w:rsid w:val="003E6731"/>
    <w:rsid w:val="003E773E"/>
    <w:rsid w:val="003E7B9A"/>
    <w:rsid w:val="003F3C79"/>
    <w:rsid w:val="003F3E54"/>
    <w:rsid w:val="003F5AA8"/>
    <w:rsid w:val="003F6AFB"/>
    <w:rsid w:val="00400136"/>
    <w:rsid w:val="00400F13"/>
    <w:rsid w:val="00401BD4"/>
    <w:rsid w:val="00402CD9"/>
    <w:rsid w:val="0040316C"/>
    <w:rsid w:val="00403738"/>
    <w:rsid w:val="0040482C"/>
    <w:rsid w:val="00404CD3"/>
    <w:rsid w:val="00405E7B"/>
    <w:rsid w:val="0040626D"/>
    <w:rsid w:val="00406B6C"/>
    <w:rsid w:val="00407130"/>
    <w:rsid w:val="004104E4"/>
    <w:rsid w:val="00412826"/>
    <w:rsid w:val="00413111"/>
    <w:rsid w:val="00413652"/>
    <w:rsid w:val="00416072"/>
    <w:rsid w:val="0041639D"/>
    <w:rsid w:val="00417DA5"/>
    <w:rsid w:val="004201C8"/>
    <w:rsid w:val="00421084"/>
    <w:rsid w:val="004214CB"/>
    <w:rsid w:val="00421C4A"/>
    <w:rsid w:val="00424E49"/>
    <w:rsid w:val="004265FD"/>
    <w:rsid w:val="0042731F"/>
    <w:rsid w:val="00430719"/>
    <w:rsid w:val="00430B0C"/>
    <w:rsid w:val="00430E0E"/>
    <w:rsid w:val="004311A1"/>
    <w:rsid w:val="00431427"/>
    <w:rsid w:val="004325AE"/>
    <w:rsid w:val="00433D5E"/>
    <w:rsid w:val="004354FF"/>
    <w:rsid w:val="00436F21"/>
    <w:rsid w:val="0044039D"/>
    <w:rsid w:val="00440450"/>
    <w:rsid w:val="00440B7E"/>
    <w:rsid w:val="00441941"/>
    <w:rsid w:val="00441CDC"/>
    <w:rsid w:val="0044336C"/>
    <w:rsid w:val="0044483F"/>
    <w:rsid w:val="0044560A"/>
    <w:rsid w:val="004463CA"/>
    <w:rsid w:val="0044664E"/>
    <w:rsid w:val="00446BE4"/>
    <w:rsid w:val="00447624"/>
    <w:rsid w:val="00447807"/>
    <w:rsid w:val="004504B5"/>
    <w:rsid w:val="00451640"/>
    <w:rsid w:val="00453115"/>
    <w:rsid w:val="00454F0A"/>
    <w:rsid w:val="0045555D"/>
    <w:rsid w:val="004570FE"/>
    <w:rsid w:val="00457559"/>
    <w:rsid w:val="004603F0"/>
    <w:rsid w:val="00460A66"/>
    <w:rsid w:val="00461E2F"/>
    <w:rsid w:val="004628B4"/>
    <w:rsid w:val="004635BD"/>
    <w:rsid w:val="00463904"/>
    <w:rsid w:val="004662B7"/>
    <w:rsid w:val="00466FBD"/>
    <w:rsid w:val="00467B66"/>
    <w:rsid w:val="0047016F"/>
    <w:rsid w:val="004715F4"/>
    <w:rsid w:val="0047172E"/>
    <w:rsid w:val="0047389E"/>
    <w:rsid w:val="004739FE"/>
    <w:rsid w:val="004749FB"/>
    <w:rsid w:val="00474CDA"/>
    <w:rsid w:val="004758F4"/>
    <w:rsid w:val="00476072"/>
    <w:rsid w:val="00476E8C"/>
    <w:rsid w:val="004779F2"/>
    <w:rsid w:val="00481049"/>
    <w:rsid w:val="00481726"/>
    <w:rsid w:val="00481DC2"/>
    <w:rsid w:val="004826A9"/>
    <w:rsid w:val="00483534"/>
    <w:rsid w:val="004844C3"/>
    <w:rsid w:val="00484AE1"/>
    <w:rsid w:val="00484CCC"/>
    <w:rsid w:val="00486157"/>
    <w:rsid w:val="00487514"/>
    <w:rsid w:val="0048751E"/>
    <w:rsid w:val="00490B37"/>
    <w:rsid w:val="004911A8"/>
    <w:rsid w:val="00492028"/>
    <w:rsid w:val="004932F0"/>
    <w:rsid w:val="00493359"/>
    <w:rsid w:val="00494462"/>
    <w:rsid w:val="004953C5"/>
    <w:rsid w:val="00495F40"/>
    <w:rsid w:val="00496903"/>
    <w:rsid w:val="0049715A"/>
    <w:rsid w:val="004A0313"/>
    <w:rsid w:val="004A0316"/>
    <w:rsid w:val="004A0A23"/>
    <w:rsid w:val="004A2668"/>
    <w:rsid w:val="004A31C5"/>
    <w:rsid w:val="004A3BD2"/>
    <w:rsid w:val="004A46B5"/>
    <w:rsid w:val="004A7F51"/>
    <w:rsid w:val="004B0074"/>
    <w:rsid w:val="004B00A3"/>
    <w:rsid w:val="004B02A5"/>
    <w:rsid w:val="004B0B31"/>
    <w:rsid w:val="004B22C2"/>
    <w:rsid w:val="004B3B3E"/>
    <w:rsid w:val="004B472F"/>
    <w:rsid w:val="004B5997"/>
    <w:rsid w:val="004B59C5"/>
    <w:rsid w:val="004B5A24"/>
    <w:rsid w:val="004B6242"/>
    <w:rsid w:val="004B6479"/>
    <w:rsid w:val="004C0270"/>
    <w:rsid w:val="004C0B11"/>
    <w:rsid w:val="004C17BE"/>
    <w:rsid w:val="004C2EBA"/>
    <w:rsid w:val="004C31ED"/>
    <w:rsid w:val="004C4E3E"/>
    <w:rsid w:val="004D0514"/>
    <w:rsid w:val="004D197D"/>
    <w:rsid w:val="004D27C2"/>
    <w:rsid w:val="004D3F9C"/>
    <w:rsid w:val="004D52B7"/>
    <w:rsid w:val="004D5F2D"/>
    <w:rsid w:val="004D6CF0"/>
    <w:rsid w:val="004D6FB2"/>
    <w:rsid w:val="004D78C5"/>
    <w:rsid w:val="004D7F40"/>
    <w:rsid w:val="004E09D3"/>
    <w:rsid w:val="004E0A1D"/>
    <w:rsid w:val="004E1616"/>
    <w:rsid w:val="004E1D88"/>
    <w:rsid w:val="004E2511"/>
    <w:rsid w:val="004E5783"/>
    <w:rsid w:val="004E5EE0"/>
    <w:rsid w:val="004E619D"/>
    <w:rsid w:val="004E6E41"/>
    <w:rsid w:val="004E7C53"/>
    <w:rsid w:val="004F0CBB"/>
    <w:rsid w:val="004F0E6C"/>
    <w:rsid w:val="004F10F7"/>
    <w:rsid w:val="004F2923"/>
    <w:rsid w:val="004F2A14"/>
    <w:rsid w:val="004F2A9B"/>
    <w:rsid w:val="004F2BD5"/>
    <w:rsid w:val="004F3527"/>
    <w:rsid w:val="004F3958"/>
    <w:rsid w:val="004F57E2"/>
    <w:rsid w:val="004F69F4"/>
    <w:rsid w:val="004F6D6E"/>
    <w:rsid w:val="005001DA"/>
    <w:rsid w:val="005008B2"/>
    <w:rsid w:val="00503BEA"/>
    <w:rsid w:val="0050605A"/>
    <w:rsid w:val="00507409"/>
    <w:rsid w:val="0050782B"/>
    <w:rsid w:val="005113D6"/>
    <w:rsid w:val="0051351B"/>
    <w:rsid w:val="005158DB"/>
    <w:rsid w:val="00517CEB"/>
    <w:rsid w:val="0052050B"/>
    <w:rsid w:val="00521E76"/>
    <w:rsid w:val="0052200A"/>
    <w:rsid w:val="00522A11"/>
    <w:rsid w:val="00523516"/>
    <w:rsid w:val="00525C14"/>
    <w:rsid w:val="00526CD7"/>
    <w:rsid w:val="005271BC"/>
    <w:rsid w:val="00530C45"/>
    <w:rsid w:val="00531673"/>
    <w:rsid w:val="00531B29"/>
    <w:rsid w:val="00532639"/>
    <w:rsid w:val="00532809"/>
    <w:rsid w:val="005329E4"/>
    <w:rsid w:val="00532C82"/>
    <w:rsid w:val="005342CC"/>
    <w:rsid w:val="0053473C"/>
    <w:rsid w:val="00536B7A"/>
    <w:rsid w:val="00536F9E"/>
    <w:rsid w:val="005402FD"/>
    <w:rsid w:val="005412E7"/>
    <w:rsid w:val="005413AF"/>
    <w:rsid w:val="005418D0"/>
    <w:rsid w:val="00541D81"/>
    <w:rsid w:val="0054267E"/>
    <w:rsid w:val="00543326"/>
    <w:rsid w:val="005454DF"/>
    <w:rsid w:val="005477F7"/>
    <w:rsid w:val="005479B8"/>
    <w:rsid w:val="00550F17"/>
    <w:rsid w:val="00552454"/>
    <w:rsid w:val="0055292E"/>
    <w:rsid w:val="005531E6"/>
    <w:rsid w:val="005534DE"/>
    <w:rsid w:val="00553576"/>
    <w:rsid w:val="00553775"/>
    <w:rsid w:val="0055514C"/>
    <w:rsid w:val="005575FE"/>
    <w:rsid w:val="00560CF7"/>
    <w:rsid w:val="00561D6B"/>
    <w:rsid w:val="0056219A"/>
    <w:rsid w:val="00562FA6"/>
    <w:rsid w:val="005633CC"/>
    <w:rsid w:val="00564BC8"/>
    <w:rsid w:val="00565F5F"/>
    <w:rsid w:val="005664FB"/>
    <w:rsid w:val="005668AB"/>
    <w:rsid w:val="005671DB"/>
    <w:rsid w:val="005675C8"/>
    <w:rsid w:val="00567A51"/>
    <w:rsid w:val="00567A7E"/>
    <w:rsid w:val="00570473"/>
    <w:rsid w:val="00571583"/>
    <w:rsid w:val="005730F0"/>
    <w:rsid w:val="005731ED"/>
    <w:rsid w:val="00573592"/>
    <w:rsid w:val="00573694"/>
    <w:rsid w:val="00573ED1"/>
    <w:rsid w:val="00574A83"/>
    <w:rsid w:val="00574BB5"/>
    <w:rsid w:val="00575033"/>
    <w:rsid w:val="0057606E"/>
    <w:rsid w:val="00576CC4"/>
    <w:rsid w:val="0058030F"/>
    <w:rsid w:val="00581A84"/>
    <w:rsid w:val="00581ECD"/>
    <w:rsid w:val="00582768"/>
    <w:rsid w:val="00584203"/>
    <w:rsid w:val="005857E3"/>
    <w:rsid w:val="00586D95"/>
    <w:rsid w:val="00587271"/>
    <w:rsid w:val="005903CD"/>
    <w:rsid w:val="005907FE"/>
    <w:rsid w:val="005925FB"/>
    <w:rsid w:val="005943C8"/>
    <w:rsid w:val="00594620"/>
    <w:rsid w:val="0059475E"/>
    <w:rsid w:val="00595A5E"/>
    <w:rsid w:val="00595C46"/>
    <w:rsid w:val="00596283"/>
    <w:rsid w:val="0059628F"/>
    <w:rsid w:val="0059655D"/>
    <w:rsid w:val="005966F3"/>
    <w:rsid w:val="0059684F"/>
    <w:rsid w:val="00596AC1"/>
    <w:rsid w:val="00597298"/>
    <w:rsid w:val="005A0EE2"/>
    <w:rsid w:val="005A0F52"/>
    <w:rsid w:val="005A121E"/>
    <w:rsid w:val="005A1C33"/>
    <w:rsid w:val="005A22BC"/>
    <w:rsid w:val="005A3189"/>
    <w:rsid w:val="005A3B13"/>
    <w:rsid w:val="005A5B7C"/>
    <w:rsid w:val="005A673F"/>
    <w:rsid w:val="005B11A4"/>
    <w:rsid w:val="005B195E"/>
    <w:rsid w:val="005B2271"/>
    <w:rsid w:val="005B3817"/>
    <w:rsid w:val="005B3CA8"/>
    <w:rsid w:val="005B48EE"/>
    <w:rsid w:val="005B4ACA"/>
    <w:rsid w:val="005B60E0"/>
    <w:rsid w:val="005B71D2"/>
    <w:rsid w:val="005B7331"/>
    <w:rsid w:val="005B75C6"/>
    <w:rsid w:val="005B764C"/>
    <w:rsid w:val="005C0EF7"/>
    <w:rsid w:val="005C224C"/>
    <w:rsid w:val="005C2A93"/>
    <w:rsid w:val="005C2DD3"/>
    <w:rsid w:val="005C33DF"/>
    <w:rsid w:val="005C4076"/>
    <w:rsid w:val="005C6F84"/>
    <w:rsid w:val="005C7570"/>
    <w:rsid w:val="005C7F4A"/>
    <w:rsid w:val="005D1AE3"/>
    <w:rsid w:val="005D2798"/>
    <w:rsid w:val="005D289C"/>
    <w:rsid w:val="005D2B9B"/>
    <w:rsid w:val="005D2C9F"/>
    <w:rsid w:val="005D31BC"/>
    <w:rsid w:val="005D34FE"/>
    <w:rsid w:val="005D472C"/>
    <w:rsid w:val="005D4DFB"/>
    <w:rsid w:val="005D50F4"/>
    <w:rsid w:val="005D54D4"/>
    <w:rsid w:val="005D7488"/>
    <w:rsid w:val="005D7712"/>
    <w:rsid w:val="005D784A"/>
    <w:rsid w:val="005D7BDF"/>
    <w:rsid w:val="005E1B05"/>
    <w:rsid w:val="005E1E2D"/>
    <w:rsid w:val="005E28D1"/>
    <w:rsid w:val="005E432F"/>
    <w:rsid w:val="005E4BB4"/>
    <w:rsid w:val="005E6908"/>
    <w:rsid w:val="005E793C"/>
    <w:rsid w:val="005E7CE0"/>
    <w:rsid w:val="005F15B6"/>
    <w:rsid w:val="005F1EE3"/>
    <w:rsid w:val="005F2882"/>
    <w:rsid w:val="005F2936"/>
    <w:rsid w:val="005F40FA"/>
    <w:rsid w:val="005F4FBD"/>
    <w:rsid w:val="005F5271"/>
    <w:rsid w:val="005F6353"/>
    <w:rsid w:val="005F6D3F"/>
    <w:rsid w:val="0060130D"/>
    <w:rsid w:val="00601DF4"/>
    <w:rsid w:val="0060413A"/>
    <w:rsid w:val="00605426"/>
    <w:rsid w:val="00605B26"/>
    <w:rsid w:val="006065E7"/>
    <w:rsid w:val="006114B6"/>
    <w:rsid w:val="00613187"/>
    <w:rsid w:val="00613D9C"/>
    <w:rsid w:val="00615A48"/>
    <w:rsid w:val="006166D3"/>
    <w:rsid w:val="00620FA3"/>
    <w:rsid w:val="006222B8"/>
    <w:rsid w:val="00623209"/>
    <w:rsid w:val="00623665"/>
    <w:rsid w:val="006251EF"/>
    <w:rsid w:val="0062527B"/>
    <w:rsid w:val="006257CB"/>
    <w:rsid w:val="00625CE8"/>
    <w:rsid w:val="006263B0"/>
    <w:rsid w:val="00630202"/>
    <w:rsid w:val="0063153E"/>
    <w:rsid w:val="00631666"/>
    <w:rsid w:val="006316E9"/>
    <w:rsid w:val="0063294A"/>
    <w:rsid w:val="00633F46"/>
    <w:rsid w:val="0063487E"/>
    <w:rsid w:val="00635828"/>
    <w:rsid w:val="006364C1"/>
    <w:rsid w:val="00636976"/>
    <w:rsid w:val="00636A15"/>
    <w:rsid w:val="00640C8A"/>
    <w:rsid w:val="00641DC4"/>
    <w:rsid w:val="00643E62"/>
    <w:rsid w:val="0064535E"/>
    <w:rsid w:val="00647049"/>
    <w:rsid w:val="00647229"/>
    <w:rsid w:val="00647D33"/>
    <w:rsid w:val="00650714"/>
    <w:rsid w:val="00651816"/>
    <w:rsid w:val="00651CB9"/>
    <w:rsid w:val="00652AAA"/>
    <w:rsid w:val="00653460"/>
    <w:rsid w:val="00655B00"/>
    <w:rsid w:val="00656271"/>
    <w:rsid w:val="00656370"/>
    <w:rsid w:val="00657B1A"/>
    <w:rsid w:val="00660185"/>
    <w:rsid w:val="00660440"/>
    <w:rsid w:val="00661AD0"/>
    <w:rsid w:val="00662663"/>
    <w:rsid w:val="00662BBB"/>
    <w:rsid w:val="006634A5"/>
    <w:rsid w:val="00663D77"/>
    <w:rsid w:val="0066492D"/>
    <w:rsid w:val="00664EFE"/>
    <w:rsid w:val="006652F5"/>
    <w:rsid w:val="00666B38"/>
    <w:rsid w:val="00666ED6"/>
    <w:rsid w:val="006727D0"/>
    <w:rsid w:val="00672C79"/>
    <w:rsid w:val="0067432E"/>
    <w:rsid w:val="0067682B"/>
    <w:rsid w:val="00677396"/>
    <w:rsid w:val="00682B2F"/>
    <w:rsid w:val="006835B0"/>
    <w:rsid w:val="00683D50"/>
    <w:rsid w:val="00683EE4"/>
    <w:rsid w:val="0068567F"/>
    <w:rsid w:val="00687216"/>
    <w:rsid w:val="00687DB7"/>
    <w:rsid w:val="00690896"/>
    <w:rsid w:val="0069126C"/>
    <w:rsid w:val="00691531"/>
    <w:rsid w:val="00692799"/>
    <w:rsid w:val="00693088"/>
    <w:rsid w:val="0069409D"/>
    <w:rsid w:val="0069665A"/>
    <w:rsid w:val="006A1F09"/>
    <w:rsid w:val="006A2617"/>
    <w:rsid w:val="006A4FA7"/>
    <w:rsid w:val="006A6267"/>
    <w:rsid w:val="006B0261"/>
    <w:rsid w:val="006B0890"/>
    <w:rsid w:val="006B0C05"/>
    <w:rsid w:val="006B0D0C"/>
    <w:rsid w:val="006B1CBF"/>
    <w:rsid w:val="006B1F8E"/>
    <w:rsid w:val="006B30B5"/>
    <w:rsid w:val="006B4698"/>
    <w:rsid w:val="006B50B0"/>
    <w:rsid w:val="006B5795"/>
    <w:rsid w:val="006B6450"/>
    <w:rsid w:val="006B6762"/>
    <w:rsid w:val="006B7CAA"/>
    <w:rsid w:val="006B7E18"/>
    <w:rsid w:val="006C0146"/>
    <w:rsid w:val="006C01F1"/>
    <w:rsid w:val="006C05B6"/>
    <w:rsid w:val="006C1246"/>
    <w:rsid w:val="006C2614"/>
    <w:rsid w:val="006C2B4F"/>
    <w:rsid w:val="006C541D"/>
    <w:rsid w:val="006C60CE"/>
    <w:rsid w:val="006C62E0"/>
    <w:rsid w:val="006C6A10"/>
    <w:rsid w:val="006C79B3"/>
    <w:rsid w:val="006C7D68"/>
    <w:rsid w:val="006D0D4D"/>
    <w:rsid w:val="006D3279"/>
    <w:rsid w:val="006D43A0"/>
    <w:rsid w:val="006D4DD5"/>
    <w:rsid w:val="006D63D1"/>
    <w:rsid w:val="006D7584"/>
    <w:rsid w:val="006D7F21"/>
    <w:rsid w:val="006E1CAE"/>
    <w:rsid w:val="006E272A"/>
    <w:rsid w:val="006E2EE8"/>
    <w:rsid w:val="006E348E"/>
    <w:rsid w:val="006E3DDE"/>
    <w:rsid w:val="006E4723"/>
    <w:rsid w:val="006E587D"/>
    <w:rsid w:val="006E6B94"/>
    <w:rsid w:val="006E6D66"/>
    <w:rsid w:val="006E6EAA"/>
    <w:rsid w:val="006E754A"/>
    <w:rsid w:val="006E75D2"/>
    <w:rsid w:val="006E7D9C"/>
    <w:rsid w:val="006F11FF"/>
    <w:rsid w:val="006F14F9"/>
    <w:rsid w:val="006F1B8F"/>
    <w:rsid w:val="006F4CF8"/>
    <w:rsid w:val="006F51EA"/>
    <w:rsid w:val="006F5D54"/>
    <w:rsid w:val="006F5FE6"/>
    <w:rsid w:val="006F7B54"/>
    <w:rsid w:val="0070069C"/>
    <w:rsid w:val="00701511"/>
    <w:rsid w:val="00701770"/>
    <w:rsid w:val="00702CD7"/>
    <w:rsid w:val="007039D9"/>
    <w:rsid w:val="00703F60"/>
    <w:rsid w:val="00704457"/>
    <w:rsid w:val="007067B0"/>
    <w:rsid w:val="00706DE4"/>
    <w:rsid w:val="007074F9"/>
    <w:rsid w:val="0070772A"/>
    <w:rsid w:val="00707F9C"/>
    <w:rsid w:val="00711027"/>
    <w:rsid w:val="00711112"/>
    <w:rsid w:val="00711DF3"/>
    <w:rsid w:val="00713BB3"/>
    <w:rsid w:val="00715742"/>
    <w:rsid w:val="0072086F"/>
    <w:rsid w:val="00720C28"/>
    <w:rsid w:val="00721136"/>
    <w:rsid w:val="007216EF"/>
    <w:rsid w:val="007217BE"/>
    <w:rsid w:val="00721C27"/>
    <w:rsid w:val="00722776"/>
    <w:rsid w:val="00723DDC"/>
    <w:rsid w:val="007240E2"/>
    <w:rsid w:val="00725FEE"/>
    <w:rsid w:val="00726006"/>
    <w:rsid w:val="00726792"/>
    <w:rsid w:val="007275DC"/>
    <w:rsid w:val="00727C49"/>
    <w:rsid w:val="007303F9"/>
    <w:rsid w:val="00731387"/>
    <w:rsid w:val="00731938"/>
    <w:rsid w:val="00734386"/>
    <w:rsid w:val="007355D1"/>
    <w:rsid w:val="00735F34"/>
    <w:rsid w:val="0073616C"/>
    <w:rsid w:val="00736C50"/>
    <w:rsid w:val="007374F6"/>
    <w:rsid w:val="00741B38"/>
    <w:rsid w:val="00742219"/>
    <w:rsid w:val="007439CA"/>
    <w:rsid w:val="00744B14"/>
    <w:rsid w:val="00745398"/>
    <w:rsid w:val="0074573A"/>
    <w:rsid w:val="00745C47"/>
    <w:rsid w:val="00747EF5"/>
    <w:rsid w:val="007515EA"/>
    <w:rsid w:val="00752030"/>
    <w:rsid w:val="00752D0E"/>
    <w:rsid w:val="0075445A"/>
    <w:rsid w:val="00754AD0"/>
    <w:rsid w:val="007554FB"/>
    <w:rsid w:val="00756328"/>
    <w:rsid w:val="007570F1"/>
    <w:rsid w:val="00761891"/>
    <w:rsid w:val="00764D3D"/>
    <w:rsid w:val="00765F53"/>
    <w:rsid w:val="0076609E"/>
    <w:rsid w:val="0076632F"/>
    <w:rsid w:val="00766F66"/>
    <w:rsid w:val="0076729C"/>
    <w:rsid w:val="00770455"/>
    <w:rsid w:val="00770A76"/>
    <w:rsid w:val="007716AD"/>
    <w:rsid w:val="00772011"/>
    <w:rsid w:val="00772DAB"/>
    <w:rsid w:val="00773211"/>
    <w:rsid w:val="007743FA"/>
    <w:rsid w:val="007744B5"/>
    <w:rsid w:val="0077742D"/>
    <w:rsid w:val="00777526"/>
    <w:rsid w:val="00777655"/>
    <w:rsid w:val="00777903"/>
    <w:rsid w:val="007801BB"/>
    <w:rsid w:val="00780960"/>
    <w:rsid w:val="00781932"/>
    <w:rsid w:val="007827A3"/>
    <w:rsid w:val="00783A11"/>
    <w:rsid w:val="00784C29"/>
    <w:rsid w:val="0078534E"/>
    <w:rsid w:val="00785845"/>
    <w:rsid w:val="007865C3"/>
    <w:rsid w:val="007901D2"/>
    <w:rsid w:val="00790426"/>
    <w:rsid w:val="007913DF"/>
    <w:rsid w:val="00791611"/>
    <w:rsid w:val="007918B4"/>
    <w:rsid w:val="0079215F"/>
    <w:rsid w:val="00792A94"/>
    <w:rsid w:val="00794251"/>
    <w:rsid w:val="0079556C"/>
    <w:rsid w:val="0079587D"/>
    <w:rsid w:val="00796A9B"/>
    <w:rsid w:val="00797AAF"/>
    <w:rsid w:val="00797B37"/>
    <w:rsid w:val="007A0560"/>
    <w:rsid w:val="007A0BDE"/>
    <w:rsid w:val="007A0FFF"/>
    <w:rsid w:val="007A251D"/>
    <w:rsid w:val="007A2709"/>
    <w:rsid w:val="007A3DAD"/>
    <w:rsid w:val="007A3FD3"/>
    <w:rsid w:val="007A62FE"/>
    <w:rsid w:val="007B0AB1"/>
    <w:rsid w:val="007B1038"/>
    <w:rsid w:val="007B139E"/>
    <w:rsid w:val="007B13DC"/>
    <w:rsid w:val="007B4151"/>
    <w:rsid w:val="007B46DD"/>
    <w:rsid w:val="007B4ACC"/>
    <w:rsid w:val="007B54B0"/>
    <w:rsid w:val="007B5FF2"/>
    <w:rsid w:val="007B69B2"/>
    <w:rsid w:val="007B6E18"/>
    <w:rsid w:val="007B770B"/>
    <w:rsid w:val="007C0D50"/>
    <w:rsid w:val="007C21F5"/>
    <w:rsid w:val="007C2AA0"/>
    <w:rsid w:val="007C3481"/>
    <w:rsid w:val="007C3C52"/>
    <w:rsid w:val="007C411D"/>
    <w:rsid w:val="007C49E5"/>
    <w:rsid w:val="007C528F"/>
    <w:rsid w:val="007C5F9D"/>
    <w:rsid w:val="007C6967"/>
    <w:rsid w:val="007C7670"/>
    <w:rsid w:val="007C79E5"/>
    <w:rsid w:val="007D0364"/>
    <w:rsid w:val="007D0797"/>
    <w:rsid w:val="007D1AA8"/>
    <w:rsid w:val="007D2B22"/>
    <w:rsid w:val="007D2FC0"/>
    <w:rsid w:val="007D5215"/>
    <w:rsid w:val="007D5D09"/>
    <w:rsid w:val="007D639D"/>
    <w:rsid w:val="007D642B"/>
    <w:rsid w:val="007D697E"/>
    <w:rsid w:val="007D6A8D"/>
    <w:rsid w:val="007E00B8"/>
    <w:rsid w:val="007E0934"/>
    <w:rsid w:val="007E14C2"/>
    <w:rsid w:val="007E1D5C"/>
    <w:rsid w:val="007E20D2"/>
    <w:rsid w:val="007E30D4"/>
    <w:rsid w:val="007E3E69"/>
    <w:rsid w:val="007E4488"/>
    <w:rsid w:val="007E4D3D"/>
    <w:rsid w:val="007E4D4B"/>
    <w:rsid w:val="007E4DB0"/>
    <w:rsid w:val="007E5039"/>
    <w:rsid w:val="007E58A4"/>
    <w:rsid w:val="007E5BDD"/>
    <w:rsid w:val="007E72E1"/>
    <w:rsid w:val="007E77CE"/>
    <w:rsid w:val="007E7BF4"/>
    <w:rsid w:val="007F1B31"/>
    <w:rsid w:val="007F26F5"/>
    <w:rsid w:val="007F28D7"/>
    <w:rsid w:val="007F2919"/>
    <w:rsid w:val="007F2B36"/>
    <w:rsid w:val="007F4E4D"/>
    <w:rsid w:val="007F5FAC"/>
    <w:rsid w:val="007F63BD"/>
    <w:rsid w:val="007F6EA4"/>
    <w:rsid w:val="007F71DA"/>
    <w:rsid w:val="007F7ECA"/>
    <w:rsid w:val="00802FB5"/>
    <w:rsid w:val="00803E43"/>
    <w:rsid w:val="00803F28"/>
    <w:rsid w:val="00804A42"/>
    <w:rsid w:val="00804A7A"/>
    <w:rsid w:val="00804CF3"/>
    <w:rsid w:val="00806CD7"/>
    <w:rsid w:val="00807B93"/>
    <w:rsid w:val="0081009E"/>
    <w:rsid w:val="008104C5"/>
    <w:rsid w:val="00810D09"/>
    <w:rsid w:val="0081150D"/>
    <w:rsid w:val="00811AF7"/>
    <w:rsid w:val="008120A2"/>
    <w:rsid w:val="00812702"/>
    <w:rsid w:val="00812E2F"/>
    <w:rsid w:val="00813284"/>
    <w:rsid w:val="00814475"/>
    <w:rsid w:val="00820BAE"/>
    <w:rsid w:val="0082183D"/>
    <w:rsid w:val="00822C8E"/>
    <w:rsid w:val="008232F5"/>
    <w:rsid w:val="0082385D"/>
    <w:rsid w:val="00823EB5"/>
    <w:rsid w:val="00824A00"/>
    <w:rsid w:val="00824AD2"/>
    <w:rsid w:val="00826FE6"/>
    <w:rsid w:val="00834C37"/>
    <w:rsid w:val="00835D09"/>
    <w:rsid w:val="008360FF"/>
    <w:rsid w:val="00837FC1"/>
    <w:rsid w:val="00841BF8"/>
    <w:rsid w:val="008450CF"/>
    <w:rsid w:val="00845305"/>
    <w:rsid w:val="008459B2"/>
    <w:rsid w:val="00845D85"/>
    <w:rsid w:val="0084753C"/>
    <w:rsid w:val="00847B7F"/>
    <w:rsid w:val="00850435"/>
    <w:rsid w:val="00850C67"/>
    <w:rsid w:val="00851158"/>
    <w:rsid w:val="00851AAA"/>
    <w:rsid w:val="00852470"/>
    <w:rsid w:val="008536F9"/>
    <w:rsid w:val="00853786"/>
    <w:rsid w:val="0085384C"/>
    <w:rsid w:val="008538DE"/>
    <w:rsid w:val="0085659E"/>
    <w:rsid w:val="008572FB"/>
    <w:rsid w:val="0085737B"/>
    <w:rsid w:val="008579BF"/>
    <w:rsid w:val="00857F0F"/>
    <w:rsid w:val="008604E7"/>
    <w:rsid w:val="00862FE7"/>
    <w:rsid w:val="00863638"/>
    <w:rsid w:val="008638D0"/>
    <w:rsid w:val="00863C11"/>
    <w:rsid w:val="00863DAF"/>
    <w:rsid w:val="008659E2"/>
    <w:rsid w:val="008660CD"/>
    <w:rsid w:val="00867051"/>
    <w:rsid w:val="0086779A"/>
    <w:rsid w:val="00867842"/>
    <w:rsid w:val="00867FA5"/>
    <w:rsid w:val="0087074B"/>
    <w:rsid w:val="008707BE"/>
    <w:rsid w:val="008711F5"/>
    <w:rsid w:val="00871A0E"/>
    <w:rsid w:val="00871D5C"/>
    <w:rsid w:val="00873B81"/>
    <w:rsid w:val="00875341"/>
    <w:rsid w:val="0087671A"/>
    <w:rsid w:val="008767A7"/>
    <w:rsid w:val="0087710F"/>
    <w:rsid w:val="008772EB"/>
    <w:rsid w:val="008774B0"/>
    <w:rsid w:val="00877E58"/>
    <w:rsid w:val="00880926"/>
    <w:rsid w:val="00882185"/>
    <w:rsid w:val="00884042"/>
    <w:rsid w:val="008847F0"/>
    <w:rsid w:val="008849E8"/>
    <w:rsid w:val="0088579C"/>
    <w:rsid w:val="008857C1"/>
    <w:rsid w:val="008859BE"/>
    <w:rsid w:val="00885AB6"/>
    <w:rsid w:val="00887297"/>
    <w:rsid w:val="00887393"/>
    <w:rsid w:val="00887A8B"/>
    <w:rsid w:val="0089055A"/>
    <w:rsid w:val="008907FD"/>
    <w:rsid w:val="00890865"/>
    <w:rsid w:val="008919CF"/>
    <w:rsid w:val="00891BCE"/>
    <w:rsid w:val="008923BC"/>
    <w:rsid w:val="00892D6F"/>
    <w:rsid w:val="008935B9"/>
    <w:rsid w:val="00894545"/>
    <w:rsid w:val="00894735"/>
    <w:rsid w:val="00895F04"/>
    <w:rsid w:val="00896433"/>
    <w:rsid w:val="008A08E2"/>
    <w:rsid w:val="008A115C"/>
    <w:rsid w:val="008A14E9"/>
    <w:rsid w:val="008A1D01"/>
    <w:rsid w:val="008A29BC"/>
    <w:rsid w:val="008A517B"/>
    <w:rsid w:val="008A600D"/>
    <w:rsid w:val="008A6857"/>
    <w:rsid w:val="008A6B5F"/>
    <w:rsid w:val="008A6C54"/>
    <w:rsid w:val="008A74F2"/>
    <w:rsid w:val="008B1D56"/>
    <w:rsid w:val="008B232D"/>
    <w:rsid w:val="008B33FD"/>
    <w:rsid w:val="008B4485"/>
    <w:rsid w:val="008B4927"/>
    <w:rsid w:val="008B49A7"/>
    <w:rsid w:val="008B5373"/>
    <w:rsid w:val="008B5900"/>
    <w:rsid w:val="008B6545"/>
    <w:rsid w:val="008B7D29"/>
    <w:rsid w:val="008C102C"/>
    <w:rsid w:val="008C103F"/>
    <w:rsid w:val="008C1A08"/>
    <w:rsid w:val="008C2DC1"/>
    <w:rsid w:val="008C4CF6"/>
    <w:rsid w:val="008C5259"/>
    <w:rsid w:val="008C558A"/>
    <w:rsid w:val="008C59D8"/>
    <w:rsid w:val="008C70AE"/>
    <w:rsid w:val="008C7239"/>
    <w:rsid w:val="008D13F7"/>
    <w:rsid w:val="008D352F"/>
    <w:rsid w:val="008D69D9"/>
    <w:rsid w:val="008D7F13"/>
    <w:rsid w:val="008E21C7"/>
    <w:rsid w:val="008E2525"/>
    <w:rsid w:val="008E25E5"/>
    <w:rsid w:val="008E2700"/>
    <w:rsid w:val="008E3286"/>
    <w:rsid w:val="008E409F"/>
    <w:rsid w:val="008E4671"/>
    <w:rsid w:val="008E4764"/>
    <w:rsid w:val="008E4B72"/>
    <w:rsid w:val="008E52FE"/>
    <w:rsid w:val="008E5C1A"/>
    <w:rsid w:val="008E6441"/>
    <w:rsid w:val="008E6ED0"/>
    <w:rsid w:val="008E7B94"/>
    <w:rsid w:val="008E7D84"/>
    <w:rsid w:val="008F06A8"/>
    <w:rsid w:val="008F0D9D"/>
    <w:rsid w:val="008F17F6"/>
    <w:rsid w:val="008F24FD"/>
    <w:rsid w:val="008F2A61"/>
    <w:rsid w:val="008F2DC6"/>
    <w:rsid w:val="008F3C8A"/>
    <w:rsid w:val="008F49D0"/>
    <w:rsid w:val="008F5961"/>
    <w:rsid w:val="008F68FC"/>
    <w:rsid w:val="008F7626"/>
    <w:rsid w:val="00901492"/>
    <w:rsid w:val="0090196B"/>
    <w:rsid w:val="00901DA4"/>
    <w:rsid w:val="009020B0"/>
    <w:rsid w:val="00903DBB"/>
    <w:rsid w:val="00905A4C"/>
    <w:rsid w:val="00905B59"/>
    <w:rsid w:val="00906C4C"/>
    <w:rsid w:val="0091084C"/>
    <w:rsid w:val="00910E67"/>
    <w:rsid w:val="00912AF3"/>
    <w:rsid w:val="00914FBB"/>
    <w:rsid w:val="00915BE2"/>
    <w:rsid w:val="00916009"/>
    <w:rsid w:val="009164C8"/>
    <w:rsid w:val="00920619"/>
    <w:rsid w:val="0092223D"/>
    <w:rsid w:val="00923FCD"/>
    <w:rsid w:val="00924398"/>
    <w:rsid w:val="00925113"/>
    <w:rsid w:val="009273E9"/>
    <w:rsid w:val="00927A58"/>
    <w:rsid w:val="00927CBB"/>
    <w:rsid w:val="00930E82"/>
    <w:rsid w:val="009338AC"/>
    <w:rsid w:val="00934F75"/>
    <w:rsid w:val="009353C5"/>
    <w:rsid w:val="00937BBB"/>
    <w:rsid w:val="009405DE"/>
    <w:rsid w:val="00940BEE"/>
    <w:rsid w:val="00941D9A"/>
    <w:rsid w:val="00941E92"/>
    <w:rsid w:val="00942D6F"/>
    <w:rsid w:val="0094322E"/>
    <w:rsid w:val="009444FE"/>
    <w:rsid w:val="00946E24"/>
    <w:rsid w:val="0094743B"/>
    <w:rsid w:val="00947698"/>
    <w:rsid w:val="009477CC"/>
    <w:rsid w:val="00953226"/>
    <w:rsid w:val="00955220"/>
    <w:rsid w:val="0095604C"/>
    <w:rsid w:val="00956881"/>
    <w:rsid w:val="0095730A"/>
    <w:rsid w:val="00957829"/>
    <w:rsid w:val="009605CC"/>
    <w:rsid w:val="00961269"/>
    <w:rsid w:val="00963279"/>
    <w:rsid w:val="00963577"/>
    <w:rsid w:val="00963BDC"/>
    <w:rsid w:val="0096429A"/>
    <w:rsid w:val="009643CB"/>
    <w:rsid w:val="00964CEE"/>
    <w:rsid w:val="009664FF"/>
    <w:rsid w:val="00967523"/>
    <w:rsid w:val="00967BC9"/>
    <w:rsid w:val="00970571"/>
    <w:rsid w:val="00970F60"/>
    <w:rsid w:val="00971040"/>
    <w:rsid w:val="009727CC"/>
    <w:rsid w:val="00973865"/>
    <w:rsid w:val="00975197"/>
    <w:rsid w:val="009764C5"/>
    <w:rsid w:val="009770FA"/>
    <w:rsid w:val="00977AD6"/>
    <w:rsid w:val="009809AD"/>
    <w:rsid w:val="009810BB"/>
    <w:rsid w:val="0098292E"/>
    <w:rsid w:val="009861C3"/>
    <w:rsid w:val="00986ABA"/>
    <w:rsid w:val="00987FF7"/>
    <w:rsid w:val="00990D18"/>
    <w:rsid w:val="00991B43"/>
    <w:rsid w:val="00991C88"/>
    <w:rsid w:val="00991E2A"/>
    <w:rsid w:val="00992429"/>
    <w:rsid w:val="0099344C"/>
    <w:rsid w:val="00993FC2"/>
    <w:rsid w:val="00995A26"/>
    <w:rsid w:val="00996905"/>
    <w:rsid w:val="00997520"/>
    <w:rsid w:val="0099756F"/>
    <w:rsid w:val="00997934"/>
    <w:rsid w:val="00997B65"/>
    <w:rsid w:val="009A09D4"/>
    <w:rsid w:val="009A0E3A"/>
    <w:rsid w:val="009A1022"/>
    <w:rsid w:val="009A241B"/>
    <w:rsid w:val="009A2667"/>
    <w:rsid w:val="009A26A9"/>
    <w:rsid w:val="009A2D33"/>
    <w:rsid w:val="009A2F38"/>
    <w:rsid w:val="009A6C07"/>
    <w:rsid w:val="009A71F0"/>
    <w:rsid w:val="009B0092"/>
    <w:rsid w:val="009B1C00"/>
    <w:rsid w:val="009B42A2"/>
    <w:rsid w:val="009B42CC"/>
    <w:rsid w:val="009B4815"/>
    <w:rsid w:val="009B71EA"/>
    <w:rsid w:val="009B7315"/>
    <w:rsid w:val="009C0A3B"/>
    <w:rsid w:val="009C12AD"/>
    <w:rsid w:val="009C13AF"/>
    <w:rsid w:val="009C14AE"/>
    <w:rsid w:val="009C14D0"/>
    <w:rsid w:val="009C2A84"/>
    <w:rsid w:val="009C3840"/>
    <w:rsid w:val="009C4C97"/>
    <w:rsid w:val="009C50A5"/>
    <w:rsid w:val="009C50FC"/>
    <w:rsid w:val="009C52F7"/>
    <w:rsid w:val="009C56A1"/>
    <w:rsid w:val="009C5890"/>
    <w:rsid w:val="009C6205"/>
    <w:rsid w:val="009C6FCF"/>
    <w:rsid w:val="009C7023"/>
    <w:rsid w:val="009C74AD"/>
    <w:rsid w:val="009C7984"/>
    <w:rsid w:val="009C7DA7"/>
    <w:rsid w:val="009D13C9"/>
    <w:rsid w:val="009D3B3B"/>
    <w:rsid w:val="009D4C49"/>
    <w:rsid w:val="009D515F"/>
    <w:rsid w:val="009D5C19"/>
    <w:rsid w:val="009D612D"/>
    <w:rsid w:val="009D6FA8"/>
    <w:rsid w:val="009E1B07"/>
    <w:rsid w:val="009E21C0"/>
    <w:rsid w:val="009E2B62"/>
    <w:rsid w:val="009E406F"/>
    <w:rsid w:val="009E41A3"/>
    <w:rsid w:val="009E57E5"/>
    <w:rsid w:val="009E5810"/>
    <w:rsid w:val="009E5E05"/>
    <w:rsid w:val="009F195D"/>
    <w:rsid w:val="009F2763"/>
    <w:rsid w:val="009F35D9"/>
    <w:rsid w:val="009F3D7B"/>
    <w:rsid w:val="009F720B"/>
    <w:rsid w:val="009F7F84"/>
    <w:rsid w:val="00A00CE4"/>
    <w:rsid w:val="00A01121"/>
    <w:rsid w:val="00A033C3"/>
    <w:rsid w:val="00A03FE2"/>
    <w:rsid w:val="00A12702"/>
    <w:rsid w:val="00A13A99"/>
    <w:rsid w:val="00A13E28"/>
    <w:rsid w:val="00A1522D"/>
    <w:rsid w:val="00A1561B"/>
    <w:rsid w:val="00A17EB0"/>
    <w:rsid w:val="00A20822"/>
    <w:rsid w:val="00A20D0C"/>
    <w:rsid w:val="00A223A7"/>
    <w:rsid w:val="00A238D5"/>
    <w:rsid w:val="00A240DB"/>
    <w:rsid w:val="00A25EAB"/>
    <w:rsid w:val="00A26577"/>
    <w:rsid w:val="00A27016"/>
    <w:rsid w:val="00A275F1"/>
    <w:rsid w:val="00A27BE9"/>
    <w:rsid w:val="00A315D1"/>
    <w:rsid w:val="00A31680"/>
    <w:rsid w:val="00A3199A"/>
    <w:rsid w:val="00A31ED2"/>
    <w:rsid w:val="00A32FAC"/>
    <w:rsid w:val="00A33F9A"/>
    <w:rsid w:val="00A343EF"/>
    <w:rsid w:val="00A349DF"/>
    <w:rsid w:val="00A34D2E"/>
    <w:rsid w:val="00A3522C"/>
    <w:rsid w:val="00A36141"/>
    <w:rsid w:val="00A36963"/>
    <w:rsid w:val="00A36B3E"/>
    <w:rsid w:val="00A37AB2"/>
    <w:rsid w:val="00A406C6"/>
    <w:rsid w:val="00A409CB"/>
    <w:rsid w:val="00A425BC"/>
    <w:rsid w:val="00A43EE0"/>
    <w:rsid w:val="00A461DA"/>
    <w:rsid w:val="00A4624C"/>
    <w:rsid w:val="00A4717D"/>
    <w:rsid w:val="00A500D6"/>
    <w:rsid w:val="00A50273"/>
    <w:rsid w:val="00A50FF6"/>
    <w:rsid w:val="00A51221"/>
    <w:rsid w:val="00A5186D"/>
    <w:rsid w:val="00A5371A"/>
    <w:rsid w:val="00A54134"/>
    <w:rsid w:val="00A5478A"/>
    <w:rsid w:val="00A54A27"/>
    <w:rsid w:val="00A55524"/>
    <w:rsid w:val="00A55CDC"/>
    <w:rsid w:val="00A56F95"/>
    <w:rsid w:val="00A57501"/>
    <w:rsid w:val="00A57647"/>
    <w:rsid w:val="00A577FE"/>
    <w:rsid w:val="00A57E21"/>
    <w:rsid w:val="00A61495"/>
    <w:rsid w:val="00A6269C"/>
    <w:rsid w:val="00A62EB0"/>
    <w:rsid w:val="00A63552"/>
    <w:rsid w:val="00A63BD5"/>
    <w:rsid w:val="00A667EE"/>
    <w:rsid w:val="00A6754B"/>
    <w:rsid w:val="00A70325"/>
    <w:rsid w:val="00A712B1"/>
    <w:rsid w:val="00A71C6C"/>
    <w:rsid w:val="00A72854"/>
    <w:rsid w:val="00A73631"/>
    <w:rsid w:val="00A73B1F"/>
    <w:rsid w:val="00A73C2D"/>
    <w:rsid w:val="00A74566"/>
    <w:rsid w:val="00A7470E"/>
    <w:rsid w:val="00A74C71"/>
    <w:rsid w:val="00A80B2D"/>
    <w:rsid w:val="00A80DB8"/>
    <w:rsid w:val="00A80F79"/>
    <w:rsid w:val="00A81040"/>
    <w:rsid w:val="00A81A24"/>
    <w:rsid w:val="00A8207F"/>
    <w:rsid w:val="00A8283D"/>
    <w:rsid w:val="00A83453"/>
    <w:rsid w:val="00A847DE"/>
    <w:rsid w:val="00A84ED7"/>
    <w:rsid w:val="00A857DF"/>
    <w:rsid w:val="00A908E9"/>
    <w:rsid w:val="00A915BF"/>
    <w:rsid w:val="00A91876"/>
    <w:rsid w:val="00A92C53"/>
    <w:rsid w:val="00A93DD2"/>
    <w:rsid w:val="00A94289"/>
    <w:rsid w:val="00A95289"/>
    <w:rsid w:val="00A960F9"/>
    <w:rsid w:val="00A9732B"/>
    <w:rsid w:val="00A9778F"/>
    <w:rsid w:val="00AA1551"/>
    <w:rsid w:val="00AA1688"/>
    <w:rsid w:val="00AA1CDB"/>
    <w:rsid w:val="00AA1E41"/>
    <w:rsid w:val="00AA3F32"/>
    <w:rsid w:val="00AA629A"/>
    <w:rsid w:val="00AB2088"/>
    <w:rsid w:val="00AB3A10"/>
    <w:rsid w:val="00AB67D4"/>
    <w:rsid w:val="00AB6CDF"/>
    <w:rsid w:val="00AB6D5E"/>
    <w:rsid w:val="00AB7E28"/>
    <w:rsid w:val="00AC030D"/>
    <w:rsid w:val="00AC03E3"/>
    <w:rsid w:val="00AC11C2"/>
    <w:rsid w:val="00AC27E3"/>
    <w:rsid w:val="00AC3508"/>
    <w:rsid w:val="00AC3C55"/>
    <w:rsid w:val="00AC58CA"/>
    <w:rsid w:val="00AC683C"/>
    <w:rsid w:val="00AD0669"/>
    <w:rsid w:val="00AD1095"/>
    <w:rsid w:val="00AD15AD"/>
    <w:rsid w:val="00AD2DCD"/>
    <w:rsid w:val="00AD3A8F"/>
    <w:rsid w:val="00AD3CBF"/>
    <w:rsid w:val="00AD3D7B"/>
    <w:rsid w:val="00AD4E4F"/>
    <w:rsid w:val="00AD59F2"/>
    <w:rsid w:val="00AD6406"/>
    <w:rsid w:val="00AD7C25"/>
    <w:rsid w:val="00AD7D19"/>
    <w:rsid w:val="00AE0567"/>
    <w:rsid w:val="00AE1801"/>
    <w:rsid w:val="00AE20C2"/>
    <w:rsid w:val="00AE4A34"/>
    <w:rsid w:val="00AE4F4B"/>
    <w:rsid w:val="00AE545F"/>
    <w:rsid w:val="00AE55C0"/>
    <w:rsid w:val="00AE55D7"/>
    <w:rsid w:val="00AF00E8"/>
    <w:rsid w:val="00AF2692"/>
    <w:rsid w:val="00AF3358"/>
    <w:rsid w:val="00AF4408"/>
    <w:rsid w:val="00AF5A79"/>
    <w:rsid w:val="00AF6F9D"/>
    <w:rsid w:val="00AF79EA"/>
    <w:rsid w:val="00B00DD5"/>
    <w:rsid w:val="00B01A13"/>
    <w:rsid w:val="00B02CA7"/>
    <w:rsid w:val="00B0350E"/>
    <w:rsid w:val="00B03670"/>
    <w:rsid w:val="00B047E6"/>
    <w:rsid w:val="00B04BF7"/>
    <w:rsid w:val="00B05917"/>
    <w:rsid w:val="00B07ED0"/>
    <w:rsid w:val="00B07EEE"/>
    <w:rsid w:val="00B10ACB"/>
    <w:rsid w:val="00B1156D"/>
    <w:rsid w:val="00B13922"/>
    <w:rsid w:val="00B15975"/>
    <w:rsid w:val="00B16D27"/>
    <w:rsid w:val="00B178C3"/>
    <w:rsid w:val="00B22C9F"/>
    <w:rsid w:val="00B23D83"/>
    <w:rsid w:val="00B23FDE"/>
    <w:rsid w:val="00B25949"/>
    <w:rsid w:val="00B25E0A"/>
    <w:rsid w:val="00B26811"/>
    <w:rsid w:val="00B26C13"/>
    <w:rsid w:val="00B26EFD"/>
    <w:rsid w:val="00B27ED2"/>
    <w:rsid w:val="00B323AC"/>
    <w:rsid w:val="00B32B76"/>
    <w:rsid w:val="00B32CE1"/>
    <w:rsid w:val="00B33493"/>
    <w:rsid w:val="00B335FD"/>
    <w:rsid w:val="00B349C7"/>
    <w:rsid w:val="00B34B41"/>
    <w:rsid w:val="00B35391"/>
    <w:rsid w:val="00B3576C"/>
    <w:rsid w:val="00B36633"/>
    <w:rsid w:val="00B402B1"/>
    <w:rsid w:val="00B4050A"/>
    <w:rsid w:val="00B4058B"/>
    <w:rsid w:val="00B40F37"/>
    <w:rsid w:val="00B410DE"/>
    <w:rsid w:val="00B444F4"/>
    <w:rsid w:val="00B44740"/>
    <w:rsid w:val="00B45991"/>
    <w:rsid w:val="00B45C6B"/>
    <w:rsid w:val="00B46528"/>
    <w:rsid w:val="00B46771"/>
    <w:rsid w:val="00B46ECE"/>
    <w:rsid w:val="00B507C6"/>
    <w:rsid w:val="00B5094C"/>
    <w:rsid w:val="00B50DC4"/>
    <w:rsid w:val="00B51256"/>
    <w:rsid w:val="00B5206B"/>
    <w:rsid w:val="00B53033"/>
    <w:rsid w:val="00B53096"/>
    <w:rsid w:val="00B53585"/>
    <w:rsid w:val="00B53EB3"/>
    <w:rsid w:val="00B53F8D"/>
    <w:rsid w:val="00B61843"/>
    <w:rsid w:val="00B62025"/>
    <w:rsid w:val="00B62A10"/>
    <w:rsid w:val="00B62BED"/>
    <w:rsid w:val="00B6406B"/>
    <w:rsid w:val="00B6512E"/>
    <w:rsid w:val="00B655E8"/>
    <w:rsid w:val="00B657E0"/>
    <w:rsid w:val="00B666E3"/>
    <w:rsid w:val="00B67133"/>
    <w:rsid w:val="00B67A3D"/>
    <w:rsid w:val="00B67A56"/>
    <w:rsid w:val="00B710DE"/>
    <w:rsid w:val="00B71CAB"/>
    <w:rsid w:val="00B731D4"/>
    <w:rsid w:val="00B742B7"/>
    <w:rsid w:val="00B7613E"/>
    <w:rsid w:val="00B7709A"/>
    <w:rsid w:val="00B7776D"/>
    <w:rsid w:val="00B8262C"/>
    <w:rsid w:val="00B827C2"/>
    <w:rsid w:val="00B82CA1"/>
    <w:rsid w:val="00B82FCE"/>
    <w:rsid w:val="00B833B4"/>
    <w:rsid w:val="00B83C5C"/>
    <w:rsid w:val="00B84630"/>
    <w:rsid w:val="00B84B5F"/>
    <w:rsid w:val="00B84CB4"/>
    <w:rsid w:val="00B85152"/>
    <w:rsid w:val="00B86149"/>
    <w:rsid w:val="00B8653F"/>
    <w:rsid w:val="00B87B2C"/>
    <w:rsid w:val="00B9001C"/>
    <w:rsid w:val="00B92036"/>
    <w:rsid w:val="00B924E8"/>
    <w:rsid w:val="00B92FBD"/>
    <w:rsid w:val="00B931C6"/>
    <w:rsid w:val="00B94273"/>
    <w:rsid w:val="00B9496A"/>
    <w:rsid w:val="00B95281"/>
    <w:rsid w:val="00B96A06"/>
    <w:rsid w:val="00B96AF7"/>
    <w:rsid w:val="00B97316"/>
    <w:rsid w:val="00B97B38"/>
    <w:rsid w:val="00B97D73"/>
    <w:rsid w:val="00BA001F"/>
    <w:rsid w:val="00BA06BF"/>
    <w:rsid w:val="00BA1653"/>
    <w:rsid w:val="00BA23EC"/>
    <w:rsid w:val="00BA30B8"/>
    <w:rsid w:val="00BA3417"/>
    <w:rsid w:val="00BA3485"/>
    <w:rsid w:val="00BA4E3B"/>
    <w:rsid w:val="00BA58F0"/>
    <w:rsid w:val="00BA5B7D"/>
    <w:rsid w:val="00BA61BE"/>
    <w:rsid w:val="00BA6344"/>
    <w:rsid w:val="00BA73C6"/>
    <w:rsid w:val="00BA7669"/>
    <w:rsid w:val="00BB1E6C"/>
    <w:rsid w:val="00BB224E"/>
    <w:rsid w:val="00BB3992"/>
    <w:rsid w:val="00BB4221"/>
    <w:rsid w:val="00BB48D5"/>
    <w:rsid w:val="00BB57D3"/>
    <w:rsid w:val="00BB5D54"/>
    <w:rsid w:val="00BB6C08"/>
    <w:rsid w:val="00BB7620"/>
    <w:rsid w:val="00BC0742"/>
    <w:rsid w:val="00BC1D09"/>
    <w:rsid w:val="00BC287D"/>
    <w:rsid w:val="00BC3198"/>
    <w:rsid w:val="00BC5783"/>
    <w:rsid w:val="00BC6780"/>
    <w:rsid w:val="00BC7126"/>
    <w:rsid w:val="00BC723A"/>
    <w:rsid w:val="00BC7AA1"/>
    <w:rsid w:val="00BD00F9"/>
    <w:rsid w:val="00BD16D6"/>
    <w:rsid w:val="00BD2ACB"/>
    <w:rsid w:val="00BD3432"/>
    <w:rsid w:val="00BD3D86"/>
    <w:rsid w:val="00BD442C"/>
    <w:rsid w:val="00BD485C"/>
    <w:rsid w:val="00BD4AAC"/>
    <w:rsid w:val="00BD4ECA"/>
    <w:rsid w:val="00BD5876"/>
    <w:rsid w:val="00BD7598"/>
    <w:rsid w:val="00BD7666"/>
    <w:rsid w:val="00BE161F"/>
    <w:rsid w:val="00BE3254"/>
    <w:rsid w:val="00BE458E"/>
    <w:rsid w:val="00BE4965"/>
    <w:rsid w:val="00BE4A49"/>
    <w:rsid w:val="00BE4E15"/>
    <w:rsid w:val="00BE5AE9"/>
    <w:rsid w:val="00BE76AE"/>
    <w:rsid w:val="00BF0699"/>
    <w:rsid w:val="00BF3102"/>
    <w:rsid w:val="00BF3314"/>
    <w:rsid w:val="00BF4416"/>
    <w:rsid w:val="00BF45ED"/>
    <w:rsid w:val="00BF5434"/>
    <w:rsid w:val="00BF54C5"/>
    <w:rsid w:val="00BF59B6"/>
    <w:rsid w:val="00BF606D"/>
    <w:rsid w:val="00BF7841"/>
    <w:rsid w:val="00C0353D"/>
    <w:rsid w:val="00C065D2"/>
    <w:rsid w:val="00C1011A"/>
    <w:rsid w:val="00C101BB"/>
    <w:rsid w:val="00C1132A"/>
    <w:rsid w:val="00C13B32"/>
    <w:rsid w:val="00C1422E"/>
    <w:rsid w:val="00C1426B"/>
    <w:rsid w:val="00C1469F"/>
    <w:rsid w:val="00C1532A"/>
    <w:rsid w:val="00C154F5"/>
    <w:rsid w:val="00C15CB9"/>
    <w:rsid w:val="00C201B0"/>
    <w:rsid w:val="00C218B8"/>
    <w:rsid w:val="00C223C5"/>
    <w:rsid w:val="00C224AE"/>
    <w:rsid w:val="00C2300E"/>
    <w:rsid w:val="00C23EA1"/>
    <w:rsid w:val="00C25CF5"/>
    <w:rsid w:val="00C2621C"/>
    <w:rsid w:val="00C27112"/>
    <w:rsid w:val="00C275BE"/>
    <w:rsid w:val="00C30BA1"/>
    <w:rsid w:val="00C31EA5"/>
    <w:rsid w:val="00C32850"/>
    <w:rsid w:val="00C33AC0"/>
    <w:rsid w:val="00C3434D"/>
    <w:rsid w:val="00C34683"/>
    <w:rsid w:val="00C36C18"/>
    <w:rsid w:val="00C3743D"/>
    <w:rsid w:val="00C37E22"/>
    <w:rsid w:val="00C40F70"/>
    <w:rsid w:val="00C415D6"/>
    <w:rsid w:val="00C42098"/>
    <w:rsid w:val="00C44E0A"/>
    <w:rsid w:val="00C45D02"/>
    <w:rsid w:val="00C46259"/>
    <w:rsid w:val="00C512DB"/>
    <w:rsid w:val="00C51FB0"/>
    <w:rsid w:val="00C52336"/>
    <w:rsid w:val="00C52B82"/>
    <w:rsid w:val="00C5398A"/>
    <w:rsid w:val="00C539F9"/>
    <w:rsid w:val="00C53EE3"/>
    <w:rsid w:val="00C5515E"/>
    <w:rsid w:val="00C55C3B"/>
    <w:rsid w:val="00C574FC"/>
    <w:rsid w:val="00C57C96"/>
    <w:rsid w:val="00C60381"/>
    <w:rsid w:val="00C60503"/>
    <w:rsid w:val="00C60786"/>
    <w:rsid w:val="00C62479"/>
    <w:rsid w:val="00C626CD"/>
    <w:rsid w:val="00C62A1D"/>
    <w:rsid w:val="00C655B7"/>
    <w:rsid w:val="00C71E8A"/>
    <w:rsid w:val="00C720B1"/>
    <w:rsid w:val="00C74360"/>
    <w:rsid w:val="00C74DB5"/>
    <w:rsid w:val="00C75286"/>
    <w:rsid w:val="00C81FE9"/>
    <w:rsid w:val="00C82A87"/>
    <w:rsid w:val="00C83C04"/>
    <w:rsid w:val="00C8583A"/>
    <w:rsid w:val="00C85A07"/>
    <w:rsid w:val="00C86179"/>
    <w:rsid w:val="00C9180E"/>
    <w:rsid w:val="00C92089"/>
    <w:rsid w:val="00C9325B"/>
    <w:rsid w:val="00C9376D"/>
    <w:rsid w:val="00C941F6"/>
    <w:rsid w:val="00C94BFF"/>
    <w:rsid w:val="00C95B33"/>
    <w:rsid w:val="00CA111D"/>
    <w:rsid w:val="00CA24CE"/>
    <w:rsid w:val="00CA2A56"/>
    <w:rsid w:val="00CA2BBD"/>
    <w:rsid w:val="00CA2C09"/>
    <w:rsid w:val="00CA4193"/>
    <w:rsid w:val="00CA497C"/>
    <w:rsid w:val="00CA4B07"/>
    <w:rsid w:val="00CA5208"/>
    <w:rsid w:val="00CA5800"/>
    <w:rsid w:val="00CA6A16"/>
    <w:rsid w:val="00CA7EB3"/>
    <w:rsid w:val="00CB0808"/>
    <w:rsid w:val="00CB0C28"/>
    <w:rsid w:val="00CB0D7E"/>
    <w:rsid w:val="00CB2977"/>
    <w:rsid w:val="00CB2C33"/>
    <w:rsid w:val="00CB2CB6"/>
    <w:rsid w:val="00CB3A81"/>
    <w:rsid w:val="00CB4A7C"/>
    <w:rsid w:val="00CB5437"/>
    <w:rsid w:val="00CB6795"/>
    <w:rsid w:val="00CB73EA"/>
    <w:rsid w:val="00CC001F"/>
    <w:rsid w:val="00CC099A"/>
    <w:rsid w:val="00CC1BE0"/>
    <w:rsid w:val="00CC29CE"/>
    <w:rsid w:val="00CC2B3A"/>
    <w:rsid w:val="00CC2BC0"/>
    <w:rsid w:val="00CC3D01"/>
    <w:rsid w:val="00CC49D3"/>
    <w:rsid w:val="00CC5581"/>
    <w:rsid w:val="00CC65CA"/>
    <w:rsid w:val="00CC6688"/>
    <w:rsid w:val="00CD0216"/>
    <w:rsid w:val="00CD14B0"/>
    <w:rsid w:val="00CD2265"/>
    <w:rsid w:val="00CD2EF0"/>
    <w:rsid w:val="00CD37CC"/>
    <w:rsid w:val="00CD4A60"/>
    <w:rsid w:val="00CD51CE"/>
    <w:rsid w:val="00CD56AC"/>
    <w:rsid w:val="00CD5F9D"/>
    <w:rsid w:val="00CD7E4A"/>
    <w:rsid w:val="00CE0D07"/>
    <w:rsid w:val="00CE0E25"/>
    <w:rsid w:val="00CE18E2"/>
    <w:rsid w:val="00CE1E38"/>
    <w:rsid w:val="00CE25A7"/>
    <w:rsid w:val="00CE46C1"/>
    <w:rsid w:val="00CE4FEE"/>
    <w:rsid w:val="00CE5473"/>
    <w:rsid w:val="00CE59C7"/>
    <w:rsid w:val="00CE62ED"/>
    <w:rsid w:val="00CE690C"/>
    <w:rsid w:val="00CE730B"/>
    <w:rsid w:val="00CE7B70"/>
    <w:rsid w:val="00CF0576"/>
    <w:rsid w:val="00CF05AC"/>
    <w:rsid w:val="00CF10F2"/>
    <w:rsid w:val="00CF1290"/>
    <w:rsid w:val="00CF1840"/>
    <w:rsid w:val="00CF1C81"/>
    <w:rsid w:val="00CF261C"/>
    <w:rsid w:val="00CF2ECF"/>
    <w:rsid w:val="00CF3B36"/>
    <w:rsid w:val="00CF3BCA"/>
    <w:rsid w:val="00CF6BDB"/>
    <w:rsid w:val="00CF7D0B"/>
    <w:rsid w:val="00D02DDD"/>
    <w:rsid w:val="00D035B8"/>
    <w:rsid w:val="00D04B47"/>
    <w:rsid w:val="00D0539D"/>
    <w:rsid w:val="00D067C7"/>
    <w:rsid w:val="00D078B0"/>
    <w:rsid w:val="00D11622"/>
    <w:rsid w:val="00D11D48"/>
    <w:rsid w:val="00D13D0C"/>
    <w:rsid w:val="00D14BF8"/>
    <w:rsid w:val="00D14CA1"/>
    <w:rsid w:val="00D154D6"/>
    <w:rsid w:val="00D156E6"/>
    <w:rsid w:val="00D15973"/>
    <w:rsid w:val="00D16567"/>
    <w:rsid w:val="00D218CF"/>
    <w:rsid w:val="00D23665"/>
    <w:rsid w:val="00D23696"/>
    <w:rsid w:val="00D24AC6"/>
    <w:rsid w:val="00D26942"/>
    <w:rsid w:val="00D27A7E"/>
    <w:rsid w:val="00D302F4"/>
    <w:rsid w:val="00D30591"/>
    <w:rsid w:val="00D3088D"/>
    <w:rsid w:val="00D327AC"/>
    <w:rsid w:val="00D32A42"/>
    <w:rsid w:val="00D32F7A"/>
    <w:rsid w:val="00D356AF"/>
    <w:rsid w:val="00D358AD"/>
    <w:rsid w:val="00D36215"/>
    <w:rsid w:val="00D36841"/>
    <w:rsid w:val="00D36BDA"/>
    <w:rsid w:val="00D400CE"/>
    <w:rsid w:val="00D40CCC"/>
    <w:rsid w:val="00D40E1B"/>
    <w:rsid w:val="00D41206"/>
    <w:rsid w:val="00D437C3"/>
    <w:rsid w:val="00D458C9"/>
    <w:rsid w:val="00D4592E"/>
    <w:rsid w:val="00D46027"/>
    <w:rsid w:val="00D469DC"/>
    <w:rsid w:val="00D51ECB"/>
    <w:rsid w:val="00D520B6"/>
    <w:rsid w:val="00D52AD8"/>
    <w:rsid w:val="00D537A3"/>
    <w:rsid w:val="00D53EA4"/>
    <w:rsid w:val="00D5467D"/>
    <w:rsid w:val="00D54BE1"/>
    <w:rsid w:val="00D5609E"/>
    <w:rsid w:val="00D565FB"/>
    <w:rsid w:val="00D5794F"/>
    <w:rsid w:val="00D61D97"/>
    <w:rsid w:val="00D635F1"/>
    <w:rsid w:val="00D6382A"/>
    <w:rsid w:val="00D66EBB"/>
    <w:rsid w:val="00D70B82"/>
    <w:rsid w:val="00D70D62"/>
    <w:rsid w:val="00D70E2D"/>
    <w:rsid w:val="00D70ED9"/>
    <w:rsid w:val="00D7308D"/>
    <w:rsid w:val="00D73835"/>
    <w:rsid w:val="00D74180"/>
    <w:rsid w:val="00D746B7"/>
    <w:rsid w:val="00D74732"/>
    <w:rsid w:val="00D75621"/>
    <w:rsid w:val="00D757D4"/>
    <w:rsid w:val="00D75D7B"/>
    <w:rsid w:val="00D7672D"/>
    <w:rsid w:val="00D77769"/>
    <w:rsid w:val="00D80DAC"/>
    <w:rsid w:val="00D8143B"/>
    <w:rsid w:val="00D8252A"/>
    <w:rsid w:val="00D84502"/>
    <w:rsid w:val="00D8485E"/>
    <w:rsid w:val="00D84B14"/>
    <w:rsid w:val="00D85F3C"/>
    <w:rsid w:val="00D86AF1"/>
    <w:rsid w:val="00D9153D"/>
    <w:rsid w:val="00D9188A"/>
    <w:rsid w:val="00D926BB"/>
    <w:rsid w:val="00D929D1"/>
    <w:rsid w:val="00D95F69"/>
    <w:rsid w:val="00D962DD"/>
    <w:rsid w:val="00D974E3"/>
    <w:rsid w:val="00D979B3"/>
    <w:rsid w:val="00DA1810"/>
    <w:rsid w:val="00DA1EBA"/>
    <w:rsid w:val="00DA26A8"/>
    <w:rsid w:val="00DA2FA6"/>
    <w:rsid w:val="00DA45D2"/>
    <w:rsid w:val="00DA4C09"/>
    <w:rsid w:val="00DA4E67"/>
    <w:rsid w:val="00DA5213"/>
    <w:rsid w:val="00DA6DA4"/>
    <w:rsid w:val="00DA7E4F"/>
    <w:rsid w:val="00DA7FCD"/>
    <w:rsid w:val="00DB01A7"/>
    <w:rsid w:val="00DB063E"/>
    <w:rsid w:val="00DB23E2"/>
    <w:rsid w:val="00DB297F"/>
    <w:rsid w:val="00DB388D"/>
    <w:rsid w:val="00DB40B4"/>
    <w:rsid w:val="00DB5B9B"/>
    <w:rsid w:val="00DB5F1D"/>
    <w:rsid w:val="00DB6218"/>
    <w:rsid w:val="00DB628F"/>
    <w:rsid w:val="00DB6C09"/>
    <w:rsid w:val="00DB6F2E"/>
    <w:rsid w:val="00DB73D7"/>
    <w:rsid w:val="00DB7F62"/>
    <w:rsid w:val="00DC0231"/>
    <w:rsid w:val="00DC0DCC"/>
    <w:rsid w:val="00DC1FAC"/>
    <w:rsid w:val="00DC2877"/>
    <w:rsid w:val="00DC36F8"/>
    <w:rsid w:val="00DC5D73"/>
    <w:rsid w:val="00DC60C8"/>
    <w:rsid w:val="00DC6F84"/>
    <w:rsid w:val="00DC7EAF"/>
    <w:rsid w:val="00DD01EA"/>
    <w:rsid w:val="00DD09AA"/>
    <w:rsid w:val="00DD5D5D"/>
    <w:rsid w:val="00DD5F46"/>
    <w:rsid w:val="00DD6188"/>
    <w:rsid w:val="00DE109B"/>
    <w:rsid w:val="00DE13D5"/>
    <w:rsid w:val="00DE169C"/>
    <w:rsid w:val="00DE1DA5"/>
    <w:rsid w:val="00DE2202"/>
    <w:rsid w:val="00DE3248"/>
    <w:rsid w:val="00DE65F7"/>
    <w:rsid w:val="00DF0A03"/>
    <w:rsid w:val="00DF0C36"/>
    <w:rsid w:val="00DF16BB"/>
    <w:rsid w:val="00DF1EA2"/>
    <w:rsid w:val="00DF26E6"/>
    <w:rsid w:val="00DF3EDF"/>
    <w:rsid w:val="00DF42AF"/>
    <w:rsid w:val="00DF5503"/>
    <w:rsid w:val="00DF5BD0"/>
    <w:rsid w:val="00DF5CE0"/>
    <w:rsid w:val="00DF6868"/>
    <w:rsid w:val="00E00AAD"/>
    <w:rsid w:val="00E00D83"/>
    <w:rsid w:val="00E0123F"/>
    <w:rsid w:val="00E013B5"/>
    <w:rsid w:val="00E0145F"/>
    <w:rsid w:val="00E018D7"/>
    <w:rsid w:val="00E02D69"/>
    <w:rsid w:val="00E048B2"/>
    <w:rsid w:val="00E04B56"/>
    <w:rsid w:val="00E04EA8"/>
    <w:rsid w:val="00E07E4C"/>
    <w:rsid w:val="00E104C6"/>
    <w:rsid w:val="00E10DDA"/>
    <w:rsid w:val="00E11389"/>
    <w:rsid w:val="00E117B7"/>
    <w:rsid w:val="00E1270E"/>
    <w:rsid w:val="00E128B5"/>
    <w:rsid w:val="00E1295C"/>
    <w:rsid w:val="00E14FDB"/>
    <w:rsid w:val="00E156FA"/>
    <w:rsid w:val="00E158F8"/>
    <w:rsid w:val="00E15BC3"/>
    <w:rsid w:val="00E200F9"/>
    <w:rsid w:val="00E21450"/>
    <w:rsid w:val="00E22D76"/>
    <w:rsid w:val="00E23D5F"/>
    <w:rsid w:val="00E24A4A"/>
    <w:rsid w:val="00E25343"/>
    <w:rsid w:val="00E25DDC"/>
    <w:rsid w:val="00E2616E"/>
    <w:rsid w:val="00E27152"/>
    <w:rsid w:val="00E303F0"/>
    <w:rsid w:val="00E30C2A"/>
    <w:rsid w:val="00E30EC2"/>
    <w:rsid w:val="00E33D13"/>
    <w:rsid w:val="00E33FC8"/>
    <w:rsid w:val="00E35AE3"/>
    <w:rsid w:val="00E35E93"/>
    <w:rsid w:val="00E36367"/>
    <w:rsid w:val="00E415B2"/>
    <w:rsid w:val="00E41B70"/>
    <w:rsid w:val="00E41DC0"/>
    <w:rsid w:val="00E42D4B"/>
    <w:rsid w:val="00E4358D"/>
    <w:rsid w:val="00E43FEC"/>
    <w:rsid w:val="00E45A05"/>
    <w:rsid w:val="00E478FC"/>
    <w:rsid w:val="00E47D5E"/>
    <w:rsid w:val="00E5188F"/>
    <w:rsid w:val="00E519FF"/>
    <w:rsid w:val="00E51B73"/>
    <w:rsid w:val="00E52195"/>
    <w:rsid w:val="00E5367C"/>
    <w:rsid w:val="00E53CDB"/>
    <w:rsid w:val="00E549B3"/>
    <w:rsid w:val="00E549B4"/>
    <w:rsid w:val="00E54EAF"/>
    <w:rsid w:val="00E551A7"/>
    <w:rsid w:val="00E56008"/>
    <w:rsid w:val="00E57846"/>
    <w:rsid w:val="00E606D5"/>
    <w:rsid w:val="00E6138C"/>
    <w:rsid w:val="00E62749"/>
    <w:rsid w:val="00E62A22"/>
    <w:rsid w:val="00E634F4"/>
    <w:rsid w:val="00E6408B"/>
    <w:rsid w:val="00E6428E"/>
    <w:rsid w:val="00E64C3F"/>
    <w:rsid w:val="00E6656B"/>
    <w:rsid w:val="00E67148"/>
    <w:rsid w:val="00E6716D"/>
    <w:rsid w:val="00E67680"/>
    <w:rsid w:val="00E706B9"/>
    <w:rsid w:val="00E7118F"/>
    <w:rsid w:val="00E734EB"/>
    <w:rsid w:val="00E73565"/>
    <w:rsid w:val="00E74961"/>
    <w:rsid w:val="00E75048"/>
    <w:rsid w:val="00E75B35"/>
    <w:rsid w:val="00E77101"/>
    <w:rsid w:val="00E809EB"/>
    <w:rsid w:val="00E80ADB"/>
    <w:rsid w:val="00E826A1"/>
    <w:rsid w:val="00E8390D"/>
    <w:rsid w:val="00E85198"/>
    <w:rsid w:val="00E8747D"/>
    <w:rsid w:val="00E87B2C"/>
    <w:rsid w:val="00E9055E"/>
    <w:rsid w:val="00E92380"/>
    <w:rsid w:val="00E926FA"/>
    <w:rsid w:val="00E92D19"/>
    <w:rsid w:val="00E93531"/>
    <w:rsid w:val="00E93C6C"/>
    <w:rsid w:val="00E93F25"/>
    <w:rsid w:val="00E9417B"/>
    <w:rsid w:val="00E94B97"/>
    <w:rsid w:val="00E94C0A"/>
    <w:rsid w:val="00E9505D"/>
    <w:rsid w:val="00E95898"/>
    <w:rsid w:val="00E95B5A"/>
    <w:rsid w:val="00E970F3"/>
    <w:rsid w:val="00EA0EDC"/>
    <w:rsid w:val="00EA1815"/>
    <w:rsid w:val="00EA206B"/>
    <w:rsid w:val="00EA2A53"/>
    <w:rsid w:val="00EA2F28"/>
    <w:rsid w:val="00EA4B06"/>
    <w:rsid w:val="00EA4C9C"/>
    <w:rsid w:val="00EA4DB5"/>
    <w:rsid w:val="00EA4E30"/>
    <w:rsid w:val="00EA4E94"/>
    <w:rsid w:val="00EA5DA5"/>
    <w:rsid w:val="00EA6654"/>
    <w:rsid w:val="00EB019B"/>
    <w:rsid w:val="00EB12E5"/>
    <w:rsid w:val="00EB1457"/>
    <w:rsid w:val="00EB189B"/>
    <w:rsid w:val="00EB214C"/>
    <w:rsid w:val="00EB21D3"/>
    <w:rsid w:val="00EB36AB"/>
    <w:rsid w:val="00EB3889"/>
    <w:rsid w:val="00EB4359"/>
    <w:rsid w:val="00EB5DCA"/>
    <w:rsid w:val="00EB601F"/>
    <w:rsid w:val="00EB6832"/>
    <w:rsid w:val="00EC10C0"/>
    <w:rsid w:val="00EC1AA1"/>
    <w:rsid w:val="00EC21A5"/>
    <w:rsid w:val="00EC29C6"/>
    <w:rsid w:val="00EC2B37"/>
    <w:rsid w:val="00EC5174"/>
    <w:rsid w:val="00EC5FC3"/>
    <w:rsid w:val="00EC66E4"/>
    <w:rsid w:val="00EC6812"/>
    <w:rsid w:val="00EC6EC3"/>
    <w:rsid w:val="00EC7954"/>
    <w:rsid w:val="00ED175E"/>
    <w:rsid w:val="00ED2385"/>
    <w:rsid w:val="00ED250B"/>
    <w:rsid w:val="00ED373B"/>
    <w:rsid w:val="00ED5C78"/>
    <w:rsid w:val="00ED64BF"/>
    <w:rsid w:val="00ED6DA5"/>
    <w:rsid w:val="00ED6E8F"/>
    <w:rsid w:val="00ED7920"/>
    <w:rsid w:val="00ED7F84"/>
    <w:rsid w:val="00EE0A71"/>
    <w:rsid w:val="00EE1286"/>
    <w:rsid w:val="00EE2C83"/>
    <w:rsid w:val="00EE3947"/>
    <w:rsid w:val="00EE511B"/>
    <w:rsid w:val="00EE5DD9"/>
    <w:rsid w:val="00EE5DF7"/>
    <w:rsid w:val="00EE61B1"/>
    <w:rsid w:val="00EE7A62"/>
    <w:rsid w:val="00EF075C"/>
    <w:rsid w:val="00EF0F55"/>
    <w:rsid w:val="00EF1AF2"/>
    <w:rsid w:val="00EF39E0"/>
    <w:rsid w:val="00EF613D"/>
    <w:rsid w:val="00EF6BFD"/>
    <w:rsid w:val="00F02ED8"/>
    <w:rsid w:val="00F02FB8"/>
    <w:rsid w:val="00F031F1"/>
    <w:rsid w:val="00F0356E"/>
    <w:rsid w:val="00F03ED6"/>
    <w:rsid w:val="00F053D7"/>
    <w:rsid w:val="00F053F2"/>
    <w:rsid w:val="00F054EF"/>
    <w:rsid w:val="00F05609"/>
    <w:rsid w:val="00F05703"/>
    <w:rsid w:val="00F05FCA"/>
    <w:rsid w:val="00F064CF"/>
    <w:rsid w:val="00F10328"/>
    <w:rsid w:val="00F10876"/>
    <w:rsid w:val="00F10A08"/>
    <w:rsid w:val="00F10E08"/>
    <w:rsid w:val="00F11D2A"/>
    <w:rsid w:val="00F13F8B"/>
    <w:rsid w:val="00F14465"/>
    <w:rsid w:val="00F151AE"/>
    <w:rsid w:val="00F16E64"/>
    <w:rsid w:val="00F16F34"/>
    <w:rsid w:val="00F171AC"/>
    <w:rsid w:val="00F21448"/>
    <w:rsid w:val="00F21604"/>
    <w:rsid w:val="00F22188"/>
    <w:rsid w:val="00F235CE"/>
    <w:rsid w:val="00F241E5"/>
    <w:rsid w:val="00F27C7E"/>
    <w:rsid w:val="00F30926"/>
    <w:rsid w:val="00F31D1C"/>
    <w:rsid w:val="00F32228"/>
    <w:rsid w:val="00F3255F"/>
    <w:rsid w:val="00F32C63"/>
    <w:rsid w:val="00F32DE4"/>
    <w:rsid w:val="00F33850"/>
    <w:rsid w:val="00F33A86"/>
    <w:rsid w:val="00F34A20"/>
    <w:rsid w:val="00F34F0C"/>
    <w:rsid w:val="00F351F0"/>
    <w:rsid w:val="00F360FE"/>
    <w:rsid w:val="00F36657"/>
    <w:rsid w:val="00F36E87"/>
    <w:rsid w:val="00F371A4"/>
    <w:rsid w:val="00F403D7"/>
    <w:rsid w:val="00F43482"/>
    <w:rsid w:val="00F43AEF"/>
    <w:rsid w:val="00F44995"/>
    <w:rsid w:val="00F44ACD"/>
    <w:rsid w:val="00F45741"/>
    <w:rsid w:val="00F45ACC"/>
    <w:rsid w:val="00F45AEC"/>
    <w:rsid w:val="00F460F5"/>
    <w:rsid w:val="00F47671"/>
    <w:rsid w:val="00F50296"/>
    <w:rsid w:val="00F51A80"/>
    <w:rsid w:val="00F51C54"/>
    <w:rsid w:val="00F51CC7"/>
    <w:rsid w:val="00F5261D"/>
    <w:rsid w:val="00F52BA0"/>
    <w:rsid w:val="00F532D8"/>
    <w:rsid w:val="00F533E2"/>
    <w:rsid w:val="00F54167"/>
    <w:rsid w:val="00F54AF8"/>
    <w:rsid w:val="00F55627"/>
    <w:rsid w:val="00F55D25"/>
    <w:rsid w:val="00F566B1"/>
    <w:rsid w:val="00F57820"/>
    <w:rsid w:val="00F604FD"/>
    <w:rsid w:val="00F61DF2"/>
    <w:rsid w:val="00F65602"/>
    <w:rsid w:val="00F65C80"/>
    <w:rsid w:val="00F65CC2"/>
    <w:rsid w:val="00F6653C"/>
    <w:rsid w:val="00F6776E"/>
    <w:rsid w:val="00F679B0"/>
    <w:rsid w:val="00F7028C"/>
    <w:rsid w:val="00F709B8"/>
    <w:rsid w:val="00F70AEC"/>
    <w:rsid w:val="00F70AF3"/>
    <w:rsid w:val="00F720C2"/>
    <w:rsid w:val="00F7242F"/>
    <w:rsid w:val="00F725CF"/>
    <w:rsid w:val="00F72B85"/>
    <w:rsid w:val="00F74BC2"/>
    <w:rsid w:val="00F75244"/>
    <w:rsid w:val="00F753E1"/>
    <w:rsid w:val="00F75F21"/>
    <w:rsid w:val="00F77ECF"/>
    <w:rsid w:val="00F808C1"/>
    <w:rsid w:val="00F817C9"/>
    <w:rsid w:val="00F8309E"/>
    <w:rsid w:val="00F85070"/>
    <w:rsid w:val="00F850E4"/>
    <w:rsid w:val="00F85BC9"/>
    <w:rsid w:val="00F86636"/>
    <w:rsid w:val="00F87CC9"/>
    <w:rsid w:val="00F95D06"/>
    <w:rsid w:val="00F961AB"/>
    <w:rsid w:val="00F9797E"/>
    <w:rsid w:val="00F97F43"/>
    <w:rsid w:val="00F97FC6"/>
    <w:rsid w:val="00FA02BB"/>
    <w:rsid w:val="00FA0354"/>
    <w:rsid w:val="00FA1331"/>
    <w:rsid w:val="00FA227B"/>
    <w:rsid w:val="00FA2CED"/>
    <w:rsid w:val="00FA4AA9"/>
    <w:rsid w:val="00FA5C46"/>
    <w:rsid w:val="00FA5D1E"/>
    <w:rsid w:val="00FA6372"/>
    <w:rsid w:val="00FA63CE"/>
    <w:rsid w:val="00FA748F"/>
    <w:rsid w:val="00FB0092"/>
    <w:rsid w:val="00FB079A"/>
    <w:rsid w:val="00FB0B7D"/>
    <w:rsid w:val="00FB1BF9"/>
    <w:rsid w:val="00FB2A13"/>
    <w:rsid w:val="00FB2D5F"/>
    <w:rsid w:val="00FB2D8D"/>
    <w:rsid w:val="00FB35CF"/>
    <w:rsid w:val="00FB4A7A"/>
    <w:rsid w:val="00FB6D90"/>
    <w:rsid w:val="00FB75F7"/>
    <w:rsid w:val="00FC0577"/>
    <w:rsid w:val="00FC1730"/>
    <w:rsid w:val="00FC19D4"/>
    <w:rsid w:val="00FC2D9A"/>
    <w:rsid w:val="00FC333C"/>
    <w:rsid w:val="00FC431F"/>
    <w:rsid w:val="00FC5025"/>
    <w:rsid w:val="00FC5215"/>
    <w:rsid w:val="00FC600F"/>
    <w:rsid w:val="00FC66F9"/>
    <w:rsid w:val="00FC739C"/>
    <w:rsid w:val="00FC7A03"/>
    <w:rsid w:val="00FD042C"/>
    <w:rsid w:val="00FD0865"/>
    <w:rsid w:val="00FD1749"/>
    <w:rsid w:val="00FD5C4E"/>
    <w:rsid w:val="00FD5F22"/>
    <w:rsid w:val="00FD7414"/>
    <w:rsid w:val="00FD7677"/>
    <w:rsid w:val="00FE1271"/>
    <w:rsid w:val="00FE16B5"/>
    <w:rsid w:val="00FE1950"/>
    <w:rsid w:val="00FE26D5"/>
    <w:rsid w:val="00FE3DFA"/>
    <w:rsid w:val="00FE4072"/>
    <w:rsid w:val="00FE4206"/>
    <w:rsid w:val="00FE633F"/>
    <w:rsid w:val="00FE6E12"/>
    <w:rsid w:val="00FE6F17"/>
    <w:rsid w:val="00FE73CF"/>
    <w:rsid w:val="00FF1920"/>
    <w:rsid w:val="00FF28D7"/>
    <w:rsid w:val="00FF2E58"/>
    <w:rsid w:val="00FF47A2"/>
    <w:rsid w:val="00FF4EDC"/>
    <w:rsid w:val="00FF4F70"/>
    <w:rsid w:val="00FF706B"/>
    <w:rsid w:val="00FF74C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6917CC-EB3C-4CBA-9E9F-57D867F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4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D4C4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F9797E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C201B0"/>
    <w:rPr>
      <w:rFonts w:cs="Traditional Arabic"/>
      <w:snapToGrid w:val="0"/>
    </w:rPr>
  </w:style>
  <w:style w:type="table" w:styleId="TableGrid">
    <w:name w:val="Table Grid"/>
    <w:basedOn w:val="TableNormal"/>
    <w:uiPriority w:val="39"/>
    <w:rsid w:val="00313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D7807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1D7807"/>
    <w:rPr>
      <w:lang w:eastAsia="ar-SA"/>
    </w:rPr>
  </w:style>
  <w:style w:type="character" w:styleId="EndnoteReference">
    <w:name w:val="endnote reference"/>
    <w:uiPriority w:val="99"/>
    <w:semiHidden/>
    <w:unhideWhenUsed/>
    <w:rsid w:val="001D78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87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E21C7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408450704225351"/>
          <c:y val="0.1116751269035533"/>
          <c:w val="0.72394366197183102"/>
          <c:h val="0.71065989847715738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نسب التضخم في فلسطين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22253521126760564"/>
                  <c:y val="0.53807106598984766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5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757-477D-AEE3-0AD084048979}"/>
                </c:ext>
              </c:extLst>
            </c:dLbl>
            <c:dLbl>
              <c:idx val="5"/>
              <c:layout>
                <c:manualLayout>
                  <c:xMode val="edge"/>
                  <c:yMode val="edge"/>
                  <c:x val="0.52957746478873235"/>
                  <c:y val="0.5685279187817259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5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757-477D-AEE3-0AD084048979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86478873239436616"/>
                  <c:y val="0.49746192893401014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5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757-477D-AEE3-0AD084048979}"/>
                </c:ext>
              </c:extLst>
            </c:dLbl>
            <c:dLbl>
              <c:idx val="10"/>
              <c:layout>
                <c:manualLayout>
                  <c:xMode val="edge"/>
                  <c:yMode val="edge"/>
                  <c:x val="0.88169014084507047"/>
                  <c:y val="3.553299492385787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5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757-477D-AEE3-0AD08404897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</c:numCache>
            </c:numRef>
          </c:cat>
          <c:val>
            <c:numRef>
              <c:f>Sheet1!$B$2:$L$2</c:f>
              <c:numCache>
                <c:formatCode>0.00%</c:formatCode>
                <c:ptCount val="11"/>
                <c:pt idx="0">
                  <c:v>7.7999999999999996E-3</c:v>
                </c:pt>
                <c:pt idx="1">
                  <c:v>1.7299999999999999E-2</c:v>
                </c:pt>
                <c:pt idx="2">
                  <c:v>1.7600000000000001E-2</c:v>
                </c:pt>
                <c:pt idx="3">
                  <c:v>8.8000000000000005E-3</c:v>
                </c:pt>
                <c:pt idx="4">
                  <c:v>2.2200000000000001E-2</c:v>
                </c:pt>
                <c:pt idx="5">
                  <c:v>-5.7999999999999996E-3</c:v>
                </c:pt>
                <c:pt idx="6">
                  <c:v>-4.5100000000000001E-2</c:v>
                </c:pt>
                <c:pt idx="7">
                  <c:v>2.6700000000000002E-2</c:v>
                </c:pt>
                <c:pt idx="8">
                  <c:v>7.4300000000000005E-2</c:v>
                </c:pt>
                <c:pt idx="9">
                  <c:v>5.4800000000000001E-2</c:v>
                </c:pt>
                <c:pt idx="10">
                  <c:v>0.35420000000000001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757-477D-AEE3-0AD0840489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7811184"/>
        <c:axId val="1"/>
      </c:lineChart>
      <c:catAx>
        <c:axId val="257811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270000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5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نسب التغير السنوية</a:t>
                </a:r>
              </a:p>
            </c:rich>
          </c:tx>
          <c:layout>
            <c:manualLayout>
              <c:xMode val="edge"/>
              <c:yMode val="edge"/>
              <c:x val="3.0985915492957747E-2"/>
              <c:y val="0.29949238578680204"/>
            </c:manualLayout>
          </c:layout>
          <c:overlay val="0"/>
          <c:spPr>
            <a:noFill/>
            <a:ln w="25399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57811184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  <c:showDLblsOverMax val="0"/>
  </c:chart>
  <c:spPr>
    <a:noFill/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4706C-0D47-4FEE-9047-C49CEAF2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البيان الصحفي لأسعار المنتج</vt:lpstr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لأسعار المنتج</dc:title>
  <dc:subject/>
  <dc:creator>kakhalid</dc:creator>
  <cp:keywords/>
  <cp:lastModifiedBy>Mohammed Hodali</cp:lastModifiedBy>
  <cp:revision>2</cp:revision>
  <cp:lastPrinted>2025-01-26T10:16:00Z</cp:lastPrinted>
  <dcterms:created xsi:type="dcterms:W3CDTF">2025-01-30T07:28:00Z</dcterms:created>
  <dcterms:modified xsi:type="dcterms:W3CDTF">2025-01-30T07:28:00Z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6f1cc79ad0683bc5b0fd89bff4f20c6c2ae7ef5c3638a497a5a1052095e28f4c</vt:lpwstr>
  </property>
</Properties>
</file>