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2616" w14:textId="77777777" w:rsidR="009D2053" w:rsidRPr="00D047D0" w:rsidRDefault="009D2053" w:rsidP="009D2053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D047D0"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14:paraId="092ADB42" w14:textId="77777777" w:rsidR="009D2053" w:rsidRPr="00D047D0" w:rsidRDefault="009D2053" w:rsidP="009D2053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D047D0"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14:paraId="4C2A2E78" w14:textId="77777777" w:rsidR="009D2053" w:rsidRPr="00D047D0" w:rsidRDefault="009D2053" w:rsidP="009D2053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16"/>
          <w:szCs w:val="16"/>
          <w:rtl/>
        </w:rPr>
      </w:pPr>
    </w:p>
    <w:p w14:paraId="094593FA" w14:textId="77777777" w:rsidR="009D2053" w:rsidRPr="00D047D0" w:rsidRDefault="009D2053" w:rsidP="009D2053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D047D0">
        <w:rPr>
          <w:rFonts w:asciiTheme="majorBidi" w:hAnsiTheme="majorBidi" w:cstheme="majorBidi"/>
          <w:i w:val="0"/>
          <w:iCs/>
          <w:sz w:val="28"/>
          <w:szCs w:val="28"/>
        </w:rPr>
        <w:t xml:space="preserve">Decreasing imports during the fourth quarter of 2024, mainly led to a decline in the current account deficit to reach USD 480 million, </w:t>
      </w:r>
    </w:p>
    <w:p w14:paraId="4D4AA441" w14:textId="77777777" w:rsidR="009D2053" w:rsidRPr="00D047D0" w:rsidRDefault="009D2053" w:rsidP="009D2053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D047D0">
        <w:rPr>
          <w:rFonts w:asciiTheme="majorBidi" w:hAnsiTheme="majorBidi" w:cstheme="majorBidi"/>
          <w:i w:val="0"/>
          <w:iCs/>
          <w:sz w:val="28"/>
          <w:szCs w:val="28"/>
        </w:rPr>
        <w:t>compared to USD 870 million during the third quarter.</w:t>
      </w:r>
    </w:p>
    <w:p w14:paraId="71F063E1" w14:textId="77777777" w:rsidR="009D2053" w:rsidRPr="009D2053" w:rsidRDefault="009D2053" w:rsidP="001A4A43">
      <w:pPr>
        <w:tabs>
          <w:tab w:val="center" w:pos="4513"/>
          <w:tab w:val="right" w:pos="9027"/>
        </w:tabs>
        <w:spacing w:line="360" w:lineRule="auto"/>
        <w:rPr>
          <w:rFonts w:asciiTheme="majorBidi" w:hAnsiTheme="majorBidi" w:cstheme="majorBidi"/>
          <w:color w:val="FF0000"/>
          <w:sz w:val="16"/>
          <w:szCs w:val="16"/>
          <w:rtl/>
        </w:rPr>
      </w:pPr>
    </w:p>
    <w:p w14:paraId="1C8798BB" w14:textId="48A8645F" w:rsidR="00BB2DD0" w:rsidRPr="009D2053" w:rsidRDefault="00D8421E" w:rsidP="003F61F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D2053">
        <w:rPr>
          <w:rFonts w:asciiTheme="majorBidi" w:hAnsiTheme="majorBidi" w:cstheme="majorBidi"/>
          <w:sz w:val="26"/>
          <w:szCs w:val="26"/>
        </w:rPr>
        <w:t xml:space="preserve">The Palestinian Central Bureau of Statistics (PCBS) and the Palestine Monetary Authority (PMA) announced the preliminary results of the Palestinian Balance of Payments (BoP) for the </w:t>
      </w:r>
      <w:r w:rsidR="00BE517D" w:rsidRPr="009D2053">
        <w:rPr>
          <w:rFonts w:asciiTheme="majorBidi" w:hAnsiTheme="majorBidi" w:cstheme="majorBidi"/>
          <w:sz w:val="26"/>
          <w:szCs w:val="26"/>
        </w:rPr>
        <w:t>fourth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Pr="009D2053">
        <w:rPr>
          <w:rFonts w:asciiTheme="majorBidi" w:hAnsiTheme="majorBidi" w:cstheme="majorBidi"/>
          <w:sz w:val="26"/>
          <w:szCs w:val="26"/>
        </w:rPr>
        <w:t xml:space="preserve">quarter of </w:t>
      </w:r>
      <w:r w:rsidR="00C12404" w:rsidRPr="009D2053">
        <w:rPr>
          <w:rFonts w:asciiTheme="majorBidi" w:hAnsiTheme="majorBidi" w:cstheme="majorBidi"/>
          <w:sz w:val="26"/>
          <w:szCs w:val="26"/>
        </w:rPr>
        <w:t>2024</w:t>
      </w:r>
      <w:r w:rsidRPr="009D2053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9D2053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9D2053">
        <w:rPr>
          <w:rFonts w:asciiTheme="majorBidi" w:hAnsiTheme="majorBidi" w:cstheme="majorBidi"/>
          <w:sz w:val="26"/>
          <w:szCs w:val="26"/>
        </w:rPr>
        <w:t>those</w:t>
      </w:r>
      <w:r w:rsidR="007E6926" w:rsidRPr="009D2053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9D2053">
        <w:rPr>
          <w:rFonts w:asciiTheme="majorBidi" w:hAnsiTheme="majorBidi" w:cstheme="majorBidi"/>
          <w:sz w:val="26"/>
          <w:szCs w:val="26"/>
        </w:rPr>
        <w:t>s</w:t>
      </w:r>
      <w:r w:rsidR="007E6926" w:rsidRPr="009D2053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9D2053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9D2053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9D2053">
        <w:rPr>
          <w:rFonts w:asciiTheme="majorBidi" w:hAnsiTheme="majorBidi" w:cstheme="majorBidi"/>
          <w:sz w:val="26"/>
          <w:szCs w:val="26"/>
        </w:rPr>
        <w:t>were</w:t>
      </w:r>
      <w:r w:rsidR="007E6926" w:rsidRPr="009D2053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9D2053">
        <w:rPr>
          <w:rFonts w:asciiTheme="majorBidi" w:hAnsiTheme="majorBidi" w:cstheme="majorBidi"/>
          <w:sz w:val="26"/>
          <w:szCs w:val="26"/>
        </w:rPr>
        <w:t>i</w:t>
      </w:r>
      <w:r w:rsidR="007E6926" w:rsidRPr="009D2053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14:paraId="18FB03FF" w14:textId="77777777" w:rsidR="00FB74EB" w:rsidRPr="009D2053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0D4FABE" w14:textId="1978D05D" w:rsidR="00C12404" w:rsidRPr="009D2053" w:rsidRDefault="002A2AEE" w:rsidP="001C6478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Preliminary data for the balance of payments in the </w:t>
      </w:r>
      <w:r w:rsidR="00BE517D" w:rsidRPr="009D2053">
        <w:rPr>
          <w:rFonts w:asciiTheme="majorBidi" w:hAnsiTheme="majorBidi" w:cstheme="majorBidi"/>
          <w:sz w:val="26"/>
          <w:szCs w:val="26"/>
        </w:rPr>
        <w:t>fourth</w:t>
      </w:r>
      <w:r w:rsidR="003F61FB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C12404" w:rsidRPr="009D2053">
        <w:rPr>
          <w:rFonts w:asciiTheme="majorBidi" w:hAnsiTheme="majorBidi" w:cstheme="majorBidi"/>
          <w:sz w:val="26"/>
          <w:szCs w:val="26"/>
          <w:lang w:val="en-GB"/>
        </w:rPr>
        <w:t>2024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indicate a continued deficit in the current account (goods, services, income, and current transfers), amounting to </w:t>
      </w:r>
      <w:r w:rsidRPr="009D2053">
        <w:rPr>
          <w:rFonts w:asciiTheme="majorBidi" w:hAnsiTheme="majorBidi" w:cstheme="majorBidi"/>
          <w:sz w:val="26"/>
          <w:szCs w:val="26"/>
        </w:rPr>
        <w:t xml:space="preserve">USD </w:t>
      </w:r>
      <w:r w:rsidR="001C6478" w:rsidRPr="009D2053">
        <w:rPr>
          <w:rFonts w:asciiTheme="majorBidi" w:hAnsiTheme="majorBidi" w:cstheme="majorBidi"/>
          <w:sz w:val="26"/>
          <w:szCs w:val="26"/>
          <w:lang w:val="en-GB"/>
        </w:rPr>
        <w:t>480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12404" w:rsidRPr="009D2053">
        <w:rPr>
          <w:rFonts w:asciiTheme="majorBidi" w:hAnsiTheme="majorBidi" w:cstheme="majorBidi"/>
          <w:sz w:val="26"/>
          <w:szCs w:val="26"/>
        </w:rPr>
        <w:t>million</w:t>
      </w:r>
      <w:r w:rsidR="00A30BC6" w:rsidRPr="009D2053">
        <w:rPr>
          <w:rFonts w:asciiTheme="majorBidi" w:hAnsiTheme="majorBidi" w:cstheme="majorBidi"/>
          <w:sz w:val="26"/>
          <w:szCs w:val="26"/>
        </w:rPr>
        <w:t xml:space="preserve"> with</w:t>
      </w:r>
      <w:r w:rsidR="00011671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BE517D" w:rsidRPr="009D2053">
        <w:rPr>
          <w:rFonts w:asciiTheme="majorBidi" w:hAnsiTheme="majorBidi" w:cstheme="majorBidi"/>
          <w:sz w:val="26"/>
          <w:szCs w:val="26"/>
        </w:rPr>
        <w:t>a</w:t>
      </w:r>
      <w:r w:rsidR="00011671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BE517D" w:rsidRPr="009D2053">
        <w:rPr>
          <w:rFonts w:asciiTheme="majorBidi" w:hAnsiTheme="majorBidi" w:cstheme="majorBidi"/>
          <w:sz w:val="26"/>
          <w:szCs w:val="26"/>
        </w:rPr>
        <w:t>dec</w:t>
      </w:r>
      <w:r w:rsidR="00011671" w:rsidRPr="009D2053">
        <w:rPr>
          <w:rFonts w:asciiTheme="majorBidi" w:hAnsiTheme="majorBidi" w:cstheme="majorBidi"/>
          <w:sz w:val="26"/>
          <w:szCs w:val="26"/>
        </w:rPr>
        <w:t xml:space="preserve">rease of </w:t>
      </w:r>
      <w:r w:rsidR="00BE517D" w:rsidRPr="009D2053">
        <w:rPr>
          <w:rFonts w:asciiTheme="majorBidi" w:hAnsiTheme="majorBidi" w:cstheme="majorBidi"/>
          <w:sz w:val="26"/>
          <w:szCs w:val="26"/>
        </w:rPr>
        <w:t>45</w:t>
      </w:r>
      <w:r w:rsidR="00011671" w:rsidRPr="009D2053">
        <w:rPr>
          <w:rFonts w:asciiTheme="majorBidi" w:hAnsiTheme="majorBidi" w:cstheme="majorBidi"/>
          <w:sz w:val="26"/>
          <w:szCs w:val="26"/>
        </w:rPr>
        <w:t xml:space="preserve">% compared to the </w:t>
      </w:r>
      <w:r w:rsidR="00DC4893" w:rsidRPr="009D2053">
        <w:rPr>
          <w:rFonts w:asciiTheme="majorBidi" w:hAnsiTheme="majorBidi" w:cstheme="majorBidi"/>
          <w:sz w:val="26"/>
          <w:szCs w:val="26"/>
        </w:rPr>
        <w:t>third</w:t>
      </w:r>
      <w:r w:rsidR="00011671" w:rsidRPr="009D2053">
        <w:rPr>
          <w:rFonts w:asciiTheme="majorBidi" w:hAnsiTheme="majorBidi" w:cstheme="majorBidi"/>
          <w:sz w:val="26"/>
          <w:szCs w:val="26"/>
        </w:rPr>
        <w:t xml:space="preserve"> quarter of </w:t>
      </w:r>
      <w:r w:rsidR="00DC4893" w:rsidRPr="009D2053">
        <w:rPr>
          <w:rFonts w:asciiTheme="majorBidi" w:hAnsiTheme="majorBidi" w:cstheme="majorBidi"/>
          <w:sz w:val="26"/>
          <w:szCs w:val="26"/>
        </w:rPr>
        <w:t>2024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BC6B2B" w:rsidRPr="009D2053">
        <w:rPr>
          <w:rFonts w:asciiTheme="majorBidi" w:hAnsiTheme="majorBidi" w:cstheme="majorBidi"/>
          <w:sz w:val="26"/>
          <w:szCs w:val="26"/>
        </w:rPr>
        <w:t>The trade balance deficit for goods reached USD 1,</w:t>
      </w:r>
      <w:r w:rsidR="00DC4893" w:rsidRPr="009D2053">
        <w:rPr>
          <w:rFonts w:asciiTheme="majorBidi" w:hAnsiTheme="majorBidi" w:cstheme="majorBidi"/>
          <w:sz w:val="26"/>
          <w:szCs w:val="26"/>
        </w:rPr>
        <w:t>07</w:t>
      </w:r>
      <w:r w:rsidR="001C6478" w:rsidRPr="009D2053">
        <w:rPr>
          <w:rFonts w:asciiTheme="majorBidi" w:hAnsiTheme="majorBidi" w:cstheme="majorBidi"/>
          <w:sz w:val="26"/>
          <w:szCs w:val="26"/>
        </w:rPr>
        <w:t>5</w:t>
      </w:r>
      <w:r w:rsidR="00BC6B2B" w:rsidRPr="009D2053">
        <w:rPr>
          <w:rFonts w:asciiTheme="majorBidi" w:hAnsiTheme="majorBidi" w:cstheme="majorBidi"/>
          <w:sz w:val="26"/>
          <w:szCs w:val="26"/>
        </w:rPr>
        <w:t xml:space="preserve"> million, in addition to a services balance deficit of USD </w:t>
      </w:r>
      <w:r w:rsidR="00DC4893" w:rsidRPr="009D2053">
        <w:rPr>
          <w:rFonts w:asciiTheme="majorBidi" w:hAnsiTheme="majorBidi" w:cstheme="majorBidi"/>
          <w:sz w:val="26"/>
          <w:szCs w:val="26"/>
        </w:rPr>
        <w:t>210</w:t>
      </w:r>
      <w:r w:rsidR="00BC6B2B" w:rsidRPr="009D2053">
        <w:rPr>
          <w:rFonts w:asciiTheme="majorBidi" w:hAnsiTheme="majorBidi" w:cstheme="majorBidi"/>
          <w:sz w:val="26"/>
          <w:szCs w:val="26"/>
        </w:rPr>
        <w:t xml:space="preserve"> million.</w:t>
      </w:r>
    </w:p>
    <w:p w14:paraId="35A43233" w14:textId="77777777" w:rsidR="00C12404" w:rsidRPr="009D2053" w:rsidRDefault="00C12404" w:rsidP="00C12404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726AD02" w14:textId="3B28CE4B" w:rsidR="009812F7" w:rsidRPr="009D2053" w:rsidRDefault="002A2AEE" w:rsidP="00C55737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The data indicates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an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in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crease in the net income account during the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fourth</w:t>
      </w:r>
      <w:r w:rsidR="003F61F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651988" w:rsidRPr="009D2053">
        <w:rPr>
          <w:rFonts w:asciiTheme="majorBidi" w:hAnsiTheme="majorBidi" w:cstheme="majorBidi"/>
          <w:sz w:val="26"/>
          <w:szCs w:val="26"/>
          <w:lang w:val="en-GB"/>
        </w:rPr>
        <w:t>2024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, by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5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previous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quarter</w:t>
      </w:r>
      <w:r w:rsidR="00327CE0" w:rsidRPr="009D2053">
        <w:rPr>
          <w:rFonts w:asciiTheme="majorBidi" w:hAnsiTheme="majorBidi" w:cstheme="majorBidi"/>
          <w:sz w:val="26"/>
          <w:szCs w:val="26"/>
          <w:lang w:val="en-GB"/>
        </w:rPr>
        <w:t xml:space="preserve"> of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2024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, reaching USD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289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million. 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Whereas, compensation for </w:t>
      </w:r>
      <w:r w:rsidR="00A34F5B" w:rsidRPr="009D2053">
        <w:rPr>
          <w:rFonts w:asciiTheme="majorBidi" w:hAnsiTheme="majorBidi" w:cstheme="majorBidi"/>
          <w:sz w:val="26"/>
          <w:szCs w:val="26"/>
        </w:rPr>
        <w:t xml:space="preserve">Palestinian 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workers in Israel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in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creased by </w:t>
      </w:r>
      <w:r w:rsidR="00C55737" w:rsidRPr="009D2053">
        <w:rPr>
          <w:rFonts w:asciiTheme="majorBidi" w:hAnsiTheme="majorBidi" w:cstheme="majorBidi"/>
          <w:sz w:val="26"/>
          <w:szCs w:val="26"/>
          <w:lang w:val="en-GB"/>
        </w:rPr>
        <w:t>15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 xml:space="preserve">previous 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2024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, reached </w:t>
      </w:r>
      <w:r w:rsidR="00A34F5B" w:rsidRPr="009D2053">
        <w:rPr>
          <w:rFonts w:asciiTheme="majorBidi" w:hAnsiTheme="majorBidi" w:cstheme="majorBidi"/>
          <w:sz w:val="26"/>
          <w:szCs w:val="26"/>
        </w:rPr>
        <w:t xml:space="preserve">USD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165</w:t>
      </w:r>
      <w:r w:rsidR="00A34F5B" w:rsidRPr="009D2053">
        <w:rPr>
          <w:rFonts w:asciiTheme="majorBidi" w:hAnsiTheme="majorBidi" w:cstheme="majorBidi"/>
          <w:sz w:val="26"/>
          <w:szCs w:val="26"/>
          <w:lang w:val="en-GB"/>
        </w:rPr>
        <w:t xml:space="preserve"> million. 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Meanwhile, foreign investment income amounted to USD </w:t>
      </w:r>
      <w:r w:rsidR="00DC4893" w:rsidRPr="009D2053">
        <w:rPr>
          <w:rFonts w:asciiTheme="majorBidi" w:hAnsiTheme="majorBidi" w:cstheme="majorBidi"/>
          <w:sz w:val="26"/>
          <w:szCs w:val="26"/>
          <w:lang w:val="en-GB"/>
        </w:rPr>
        <w:t>128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 million, primarily resulting from interest earned on Palestinian deposits in foreign banks.</w:t>
      </w:r>
    </w:p>
    <w:p w14:paraId="21C827CE" w14:textId="77777777" w:rsidR="002A2AEE" w:rsidRPr="009D2053" w:rsidRDefault="002A2AEE" w:rsidP="002A2AEE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14:paraId="16ABC9E7" w14:textId="4A3223FC" w:rsidR="00107AC2" w:rsidRPr="00804C67" w:rsidRDefault="00DC4893" w:rsidP="00C55737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r w:rsidRPr="00804C67">
        <w:rPr>
          <w:rFonts w:asciiTheme="majorBidi" w:hAnsiTheme="majorBidi" w:cstheme="majorBidi"/>
          <w:b/>
          <w:iCs/>
          <w:szCs w:val="24"/>
        </w:rPr>
        <w:t>An</w:t>
      </w:r>
      <w:r w:rsidR="00107AC2" w:rsidRPr="00804C67">
        <w:rPr>
          <w:rFonts w:asciiTheme="majorBidi" w:hAnsiTheme="majorBidi" w:cstheme="majorBidi"/>
          <w:b/>
          <w:iCs/>
          <w:szCs w:val="24"/>
        </w:rPr>
        <w:t xml:space="preserve"> </w:t>
      </w:r>
      <w:r>
        <w:rPr>
          <w:rFonts w:asciiTheme="majorBidi" w:hAnsiTheme="majorBidi" w:cstheme="majorBidi"/>
          <w:b/>
          <w:iCs/>
          <w:szCs w:val="24"/>
        </w:rPr>
        <w:t>increase</w:t>
      </w:r>
      <w:r w:rsidR="00107AC2" w:rsidRPr="00804C67">
        <w:rPr>
          <w:rFonts w:asciiTheme="majorBidi" w:hAnsiTheme="majorBidi" w:cstheme="majorBidi"/>
          <w:b/>
          <w:iCs/>
          <w:szCs w:val="24"/>
        </w:rPr>
        <w:t xml:space="preserve"> of </w:t>
      </w:r>
      <w:r w:rsidR="00C55737">
        <w:rPr>
          <w:rFonts w:asciiTheme="majorBidi" w:hAnsiTheme="majorBidi" w:cstheme="majorBidi"/>
          <w:b/>
          <w:iCs/>
          <w:szCs w:val="24"/>
        </w:rPr>
        <w:t>14</w:t>
      </w:r>
      <w:r w:rsidR="00107AC2" w:rsidRPr="00804C67">
        <w:rPr>
          <w:rFonts w:asciiTheme="majorBidi" w:hAnsiTheme="majorBidi" w:cstheme="majorBidi"/>
          <w:b/>
          <w:iCs/>
          <w:szCs w:val="24"/>
        </w:rPr>
        <w:t xml:space="preserve">% was recorded in the net current transfers from abroad during the </w:t>
      </w:r>
      <w:r>
        <w:rPr>
          <w:rFonts w:asciiTheme="majorBidi" w:hAnsiTheme="majorBidi" w:cstheme="majorBidi"/>
          <w:b/>
          <w:iCs/>
          <w:szCs w:val="24"/>
        </w:rPr>
        <w:t>fourth</w:t>
      </w:r>
      <w:r w:rsidR="003F61FB" w:rsidRPr="00BC6B2B">
        <w:rPr>
          <w:rFonts w:asciiTheme="majorBidi" w:hAnsiTheme="majorBidi" w:cstheme="majorBidi"/>
          <w:b/>
          <w:iCs/>
          <w:szCs w:val="24"/>
        </w:rPr>
        <w:t xml:space="preserve"> </w:t>
      </w:r>
      <w:r w:rsidR="00107AC2" w:rsidRPr="00804C67">
        <w:rPr>
          <w:rFonts w:asciiTheme="majorBidi" w:hAnsiTheme="majorBidi" w:cstheme="majorBidi"/>
          <w:b/>
          <w:iCs/>
          <w:szCs w:val="24"/>
        </w:rPr>
        <w:t xml:space="preserve">quarter of </w:t>
      </w:r>
      <w:r w:rsidR="004B218C" w:rsidRPr="00804C67">
        <w:rPr>
          <w:rFonts w:asciiTheme="majorBidi" w:hAnsiTheme="majorBidi" w:cstheme="majorBidi"/>
          <w:b/>
          <w:iCs/>
          <w:szCs w:val="24"/>
        </w:rPr>
        <w:t>2024</w:t>
      </w:r>
      <w:r w:rsidR="00107AC2" w:rsidRPr="00804C67">
        <w:rPr>
          <w:rFonts w:asciiTheme="majorBidi" w:hAnsiTheme="majorBidi" w:cstheme="majorBidi"/>
          <w:b/>
          <w:iCs/>
          <w:szCs w:val="24"/>
        </w:rPr>
        <w:t xml:space="preserve"> compared to the </w:t>
      </w:r>
      <w:r>
        <w:rPr>
          <w:rFonts w:asciiTheme="majorBidi" w:hAnsiTheme="majorBidi" w:cstheme="majorBidi"/>
          <w:b/>
          <w:iCs/>
          <w:szCs w:val="24"/>
        </w:rPr>
        <w:t>previous</w:t>
      </w:r>
      <w:r w:rsidR="00651988" w:rsidRPr="00804C67">
        <w:rPr>
          <w:rFonts w:asciiTheme="majorBidi" w:hAnsiTheme="majorBidi" w:cstheme="majorBidi"/>
          <w:b/>
          <w:iCs/>
          <w:szCs w:val="24"/>
        </w:rPr>
        <w:t xml:space="preserve"> </w:t>
      </w:r>
      <w:r w:rsidR="00107AC2" w:rsidRPr="00804C67">
        <w:rPr>
          <w:rFonts w:asciiTheme="majorBidi" w:hAnsiTheme="majorBidi" w:cstheme="majorBidi"/>
          <w:b/>
          <w:iCs/>
          <w:szCs w:val="24"/>
        </w:rPr>
        <w:t>quarter</w:t>
      </w:r>
      <w:r w:rsidR="00651988" w:rsidRPr="00804C67">
        <w:rPr>
          <w:rFonts w:asciiTheme="majorBidi" w:hAnsiTheme="majorBidi" w:cstheme="majorBidi"/>
          <w:b/>
          <w:iCs/>
          <w:szCs w:val="24"/>
        </w:rPr>
        <w:t xml:space="preserve"> of </w:t>
      </w:r>
      <w:r>
        <w:rPr>
          <w:rFonts w:asciiTheme="majorBidi" w:hAnsiTheme="majorBidi" w:cstheme="majorBidi"/>
          <w:b/>
          <w:iCs/>
          <w:szCs w:val="24"/>
        </w:rPr>
        <w:t>2024</w:t>
      </w:r>
      <w:r w:rsidR="00107AC2" w:rsidRPr="00804C67">
        <w:rPr>
          <w:rFonts w:asciiTheme="majorBidi" w:hAnsiTheme="majorBidi" w:cstheme="majorBidi"/>
          <w:b/>
          <w:iCs/>
          <w:szCs w:val="24"/>
        </w:rPr>
        <w:t>.</w:t>
      </w:r>
    </w:p>
    <w:p w14:paraId="576D6202" w14:textId="77777777" w:rsidR="00651988" w:rsidRPr="009D2053" w:rsidRDefault="00651988" w:rsidP="00651988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67426300" w14:textId="2DA5E055" w:rsidR="00980227" w:rsidRPr="009D2053" w:rsidRDefault="00E20613" w:rsidP="00BA0168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rtl/>
          <w:lang w:val="en-GB"/>
        </w:rPr>
      </w:pP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Results indicate a </w:t>
      </w:r>
      <w:r w:rsidR="00C55737" w:rsidRPr="009D2053">
        <w:rPr>
          <w:rFonts w:asciiTheme="majorBidi" w:hAnsiTheme="majorBidi" w:cstheme="majorBidi"/>
          <w:sz w:val="26"/>
          <w:szCs w:val="26"/>
          <w:lang w:val="en-GB"/>
        </w:rPr>
        <w:t>14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% increase in net current transfers, reaching USD 516 million compared to the previous quarter of 2024. Net current transfers to the government sector increased by 33% compared to the previous quarter of 2024, while transfers to other (non-government) sectors decreased by 5%. It is noted that current transfers to the government sector accounted for </w:t>
      </w:r>
      <w:r w:rsidR="00BA0168" w:rsidRPr="009D2053">
        <w:rPr>
          <w:rFonts w:asciiTheme="majorBidi" w:hAnsiTheme="majorBidi" w:cstheme="majorBidi"/>
          <w:sz w:val="26"/>
          <w:szCs w:val="26"/>
          <w:lang w:val="en-GB"/>
        </w:rPr>
        <w:t>53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% of total current transfers from abroad, while current transfers to other sectors accounted for </w:t>
      </w:r>
      <w:r w:rsidR="00BA0168" w:rsidRPr="009D2053">
        <w:rPr>
          <w:rFonts w:asciiTheme="majorBidi" w:hAnsiTheme="majorBidi" w:cstheme="majorBidi"/>
          <w:sz w:val="26"/>
          <w:szCs w:val="26"/>
          <w:lang w:val="en-GB"/>
        </w:rPr>
        <w:t>47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 xml:space="preserve">%. It is worth noting that transfers from donor countries represent approximately </w:t>
      </w:r>
      <w:r w:rsidR="00BA0168" w:rsidRPr="009D2053">
        <w:rPr>
          <w:rFonts w:asciiTheme="majorBidi" w:hAnsiTheme="majorBidi" w:cstheme="majorBidi"/>
          <w:sz w:val="26"/>
          <w:szCs w:val="26"/>
          <w:lang w:val="en-GB"/>
        </w:rPr>
        <w:t>56</w:t>
      </w:r>
      <w:r w:rsidRPr="009D2053">
        <w:rPr>
          <w:rFonts w:asciiTheme="majorBidi" w:hAnsiTheme="majorBidi" w:cstheme="majorBidi"/>
          <w:sz w:val="26"/>
          <w:szCs w:val="26"/>
          <w:lang w:val="en-GB"/>
        </w:rPr>
        <w:t>% of total current transfers from abroad</w:t>
      </w:r>
    </w:p>
    <w:p w14:paraId="08990BC3" w14:textId="77777777" w:rsidR="00E20613" w:rsidRPr="009D2053" w:rsidRDefault="00E20613" w:rsidP="00E206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4C979F02" w14:textId="70E30D04" w:rsidR="00986174" w:rsidRPr="009D2053" w:rsidRDefault="00E007BE" w:rsidP="00E206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D2053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9D2053">
        <w:rPr>
          <w:rFonts w:asciiTheme="majorBidi" w:hAnsiTheme="majorBidi" w:cstheme="majorBidi"/>
          <w:sz w:val="26"/>
          <w:szCs w:val="26"/>
        </w:rPr>
        <w:t>preliminary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Pr="009D2053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9D2053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9D2053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9D2053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9D2053">
        <w:rPr>
          <w:rFonts w:asciiTheme="majorBidi" w:hAnsiTheme="majorBidi" w:cstheme="majorBidi"/>
          <w:sz w:val="26"/>
          <w:szCs w:val="26"/>
        </w:rPr>
        <w:t>ed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9D2053">
        <w:rPr>
          <w:rFonts w:asciiTheme="majorBidi" w:hAnsiTheme="majorBidi" w:cstheme="majorBidi"/>
          <w:sz w:val="26"/>
          <w:szCs w:val="26"/>
        </w:rPr>
        <w:t xml:space="preserve">to USD </w:t>
      </w:r>
      <w:r w:rsidR="00E20613" w:rsidRPr="009D2053">
        <w:rPr>
          <w:rFonts w:asciiTheme="majorBidi" w:hAnsiTheme="majorBidi" w:cstheme="majorBidi" w:hint="cs"/>
          <w:sz w:val="26"/>
          <w:szCs w:val="26"/>
          <w:rtl/>
        </w:rPr>
        <w:t>491</w:t>
      </w:r>
      <w:r w:rsidR="00024CA3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9D2053">
        <w:rPr>
          <w:rFonts w:asciiTheme="majorBidi" w:hAnsiTheme="majorBidi" w:cstheme="majorBidi"/>
          <w:sz w:val="26"/>
          <w:szCs w:val="26"/>
        </w:rPr>
        <w:t>million</w:t>
      </w:r>
      <w:r w:rsidR="0017537B" w:rsidRPr="009D2053">
        <w:rPr>
          <w:rFonts w:asciiTheme="majorBidi" w:hAnsiTheme="majorBidi" w:cstheme="majorBidi"/>
          <w:sz w:val="26"/>
          <w:szCs w:val="26"/>
        </w:rPr>
        <w:t>,</w:t>
      </w:r>
      <w:r w:rsidR="00024CA3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9D2053">
        <w:rPr>
          <w:rFonts w:asciiTheme="majorBidi" w:hAnsiTheme="majorBidi" w:cstheme="majorBidi"/>
          <w:sz w:val="26"/>
          <w:szCs w:val="26"/>
        </w:rPr>
        <w:t xml:space="preserve">mainly caused by the surplus in </w:t>
      </w:r>
      <w:r w:rsidR="00787D7C" w:rsidRPr="009D2053">
        <w:rPr>
          <w:rFonts w:asciiTheme="majorBidi" w:hAnsiTheme="majorBidi" w:cstheme="majorBidi"/>
          <w:sz w:val="26"/>
          <w:szCs w:val="26"/>
        </w:rPr>
        <w:t xml:space="preserve">the </w:t>
      </w:r>
      <w:r w:rsidR="00065466" w:rsidRPr="009D2053">
        <w:rPr>
          <w:rFonts w:asciiTheme="majorBidi" w:hAnsiTheme="majorBidi" w:cstheme="majorBidi"/>
          <w:sz w:val="26"/>
          <w:szCs w:val="26"/>
        </w:rPr>
        <w:t>Financial</w:t>
      </w:r>
      <w:r w:rsidR="00BF4821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9D2053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E20613" w:rsidRPr="009D2053">
        <w:rPr>
          <w:rFonts w:asciiTheme="majorBidi" w:hAnsiTheme="majorBidi" w:cstheme="majorBidi" w:hint="cs"/>
          <w:sz w:val="26"/>
          <w:szCs w:val="26"/>
          <w:rtl/>
        </w:rPr>
        <w:t>362</w:t>
      </w:r>
      <w:r w:rsidR="00F17FD5" w:rsidRPr="009D2053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9D2053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9D2053">
        <w:rPr>
          <w:rFonts w:asciiTheme="majorBidi" w:hAnsiTheme="majorBidi" w:cstheme="majorBidi"/>
          <w:sz w:val="26"/>
          <w:szCs w:val="26"/>
        </w:rPr>
        <w:t xml:space="preserve">There </w:t>
      </w:r>
      <w:r w:rsidRPr="009D2053">
        <w:rPr>
          <w:rFonts w:asciiTheme="majorBidi" w:hAnsiTheme="majorBidi" w:cstheme="majorBidi"/>
          <w:sz w:val="26"/>
          <w:szCs w:val="26"/>
        </w:rPr>
        <w:t>was a</w:t>
      </w:r>
      <w:r w:rsidR="007A6A1B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E20613" w:rsidRPr="009D2053">
        <w:rPr>
          <w:rFonts w:asciiTheme="majorBidi" w:hAnsiTheme="majorBidi" w:cstheme="majorBidi"/>
          <w:sz w:val="26"/>
          <w:szCs w:val="26"/>
        </w:rPr>
        <w:t>de</w:t>
      </w:r>
      <w:r w:rsidR="00BC6532" w:rsidRPr="009D2053">
        <w:rPr>
          <w:rFonts w:asciiTheme="majorBidi" w:hAnsiTheme="majorBidi" w:cstheme="majorBidi"/>
          <w:sz w:val="26"/>
          <w:szCs w:val="26"/>
        </w:rPr>
        <w:t>crease</w:t>
      </w:r>
      <w:r w:rsidR="00013A84" w:rsidRPr="009D2053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9D2053">
        <w:rPr>
          <w:rFonts w:asciiTheme="majorBidi" w:hAnsiTheme="majorBidi" w:cstheme="majorBidi"/>
          <w:sz w:val="26"/>
          <w:szCs w:val="26"/>
        </w:rPr>
        <w:t>r</w:t>
      </w:r>
      <w:r w:rsidR="001862D7" w:rsidRPr="009D2053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9D2053">
        <w:rPr>
          <w:rFonts w:asciiTheme="majorBidi" w:hAnsiTheme="majorBidi" w:cstheme="majorBidi"/>
          <w:sz w:val="26"/>
          <w:szCs w:val="26"/>
        </w:rPr>
        <w:t>a</w:t>
      </w:r>
      <w:r w:rsidR="001862D7" w:rsidRPr="009D2053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9D2053">
        <w:rPr>
          <w:rFonts w:asciiTheme="majorBidi" w:hAnsiTheme="majorBidi" w:cstheme="majorBidi"/>
          <w:sz w:val="26"/>
          <w:szCs w:val="26"/>
        </w:rPr>
        <w:t>at PMA</w:t>
      </w:r>
      <w:r w:rsidR="006239FE" w:rsidRPr="009D2053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9D2053">
        <w:rPr>
          <w:rFonts w:asciiTheme="majorBidi" w:hAnsiTheme="majorBidi" w:cstheme="majorBidi"/>
          <w:sz w:val="26"/>
          <w:szCs w:val="26"/>
        </w:rPr>
        <w:t>ed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9D2053">
        <w:rPr>
          <w:rFonts w:asciiTheme="majorBidi" w:hAnsiTheme="majorBidi" w:cstheme="majorBidi"/>
          <w:sz w:val="26"/>
          <w:szCs w:val="26"/>
        </w:rPr>
        <w:t>to USD</w:t>
      </w:r>
      <w:r w:rsidR="00024CA3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E443A5" w:rsidRPr="009D2053">
        <w:rPr>
          <w:rFonts w:asciiTheme="majorBidi" w:hAnsiTheme="majorBidi" w:cstheme="majorBidi"/>
          <w:sz w:val="26"/>
          <w:szCs w:val="26"/>
        </w:rPr>
        <w:t>30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9D2053">
        <w:rPr>
          <w:rFonts w:asciiTheme="majorBidi" w:hAnsiTheme="majorBidi" w:cstheme="majorBidi"/>
          <w:sz w:val="26"/>
          <w:szCs w:val="26"/>
        </w:rPr>
        <w:t>million</w:t>
      </w:r>
      <w:r w:rsidR="000C156F" w:rsidRPr="009D2053">
        <w:rPr>
          <w:rFonts w:asciiTheme="majorBidi" w:hAnsiTheme="majorBidi" w:cstheme="majorBidi"/>
          <w:sz w:val="26"/>
          <w:szCs w:val="26"/>
        </w:rPr>
        <w:t>,</w:t>
      </w:r>
      <w:r w:rsidR="0061614B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9D2053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9D2053">
        <w:rPr>
          <w:rFonts w:asciiTheme="majorBidi" w:hAnsiTheme="majorBidi" w:cstheme="majorBidi"/>
          <w:sz w:val="26"/>
          <w:szCs w:val="26"/>
        </w:rPr>
        <w:t>a</w:t>
      </w:r>
      <w:r w:rsidR="00E443A5" w:rsidRPr="009D2053">
        <w:rPr>
          <w:rFonts w:asciiTheme="majorBidi" w:hAnsiTheme="majorBidi" w:cstheme="majorBidi"/>
          <w:sz w:val="26"/>
          <w:szCs w:val="26"/>
        </w:rPr>
        <w:t>n</w:t>
      </w:r>
      <w:r w:rsidR="00191B8B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E443A5" w:rsidRPr="009D2053">
        <w:rPr>
          <w:rFonts w:asciiTheme="majorBidi" w:hAnsiTheme="majorBidi" w:cstheme="majorBidi"/>
          <w:sz w:val="26"/>
          <w:szCs w:val="26"/>
        </w:rPr>
        <w:t>in</w:t>
      </w:r>
      <w:r w:rsidR="003D5B8B" w:rsidRPr="009D2053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9D2053">
        <w:rPr>
          <w:rFonts w:asciiTheme="majorBidi" w:hAnsiTheme="majorBidi" w:cstheme="majorBidi"/>
          <w:sz w:val="26"/>
          <w:szCs w:val="26"/>
        </w:rPr>
        <w:t>of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9D2053">
        <w:rPr>
          <w:rFonts w:asciiTheme="majorBidi" w:hAnsiTheme="majorBidi" w:cstheme="majorBidi"/>
          <w:sz w:val="26"/>
          <w:szCs w:val="26"/>
        </w:rPr>
        <w:t>USD</w:t>
      </w:r>
      <w:r w:rsidR="00024CA3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E443A5" w:rsidRPr="009D2053">
        <w:rPr>
          <w:rFonts w:asciiTheme="majorBidi" w:hAnsiTheme="majorBidi" w:cstheme="majorBidi"/>
          <w:sz w:val="26"/>
          <w:szCs w:val="26"/>
        </w:rPr>
        <w:t>168</w:t>
      </w:r>
      <w:r w:rsidR="00191B8B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9D2053">
        <w:rPr>
          <w:rFonts w:asciiTheme="majorBidi" w:hAnsiTheme="majorBidi" w:cstheme="majorBidi"/>
          <w:sz w:val="26"/>
          <w:szCs w:val="26"/>
        </w:rPr>
        <w:t>million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9D2053">
        <w:rPr>
          <w:rFonts w:asciiTheme="majorBidi" w:hAnsiTheme="majorBidi" w:cstheme="majorBidi"/>
          <w:sz w:val="26"/>
          <w:szCs w:val="26"/>
        </w:rPr>
        <w:t>in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Pr="009D2053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9D2053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9D2053">
        <w:rPr>
          <w:rFonts w:asciiTheme="majorBidi" w:hAnsiTheme="majorBidi" w:cstheme="majorBidi"/>
          <w:sz w:val="26"/>
          <w:szCs w:val="26"/>
        </w:rPr>
        <w:t>.</w:t>
      </w:r>
    </w:p>
    <w:p w14:paraId="1D55DE80" w14:textId="67E9F310" w:rsidR="00651988" w:rsidRDefault="00651988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151E8FB9" w14:textId="507C56B1" w:rsidR="00C85833" w:rsidRDefault="00C85833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4D169DC4" w14:textId="77AF3D65" w:rsidR="00C85833" w:rsidRDefault="00C85833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18D339B0" w14:textId="7A58E149" w:rsidR="00C85833" w:rsidRDefault="00C85833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3EC7B13E" w14:textId="0DE77DF4" w:rsidR="00C85833" w:rsidRDefault="00C85833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04D7B8BC" w14:textId="62D6B586" w:rsidR="00C85833" w:rsidRDefault="00C85833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  <w:rtl/>
        </w:rPr>
      </w:pPr>
    </w:p>
    <w:p w14:paraId="61321C62" w14:textId="5A77C446" w:rsidR="00C85833" w:rsidRPr="00C85833" w:rsidRDefault="00C85833" w:rsidP="00C85833">
      <w:pPr>
        <w:pStyle w:val="BodyText"/>
        <w:bidi w:val="0"/>
        <w:ind w:firstLine="720"/>
        <w:jc w:val="both"/>
        <w:rPr>
          <w:rFonts w:asciiTheme="majorBidi" w:hAnsiTheme="majorBidi" w:cstheme="majorBidi"/>
          <w:sz w:val="12"/>
          <w:szCs w:val="12"/>
        </w:rPr>
      </w:pPr>
    </w:p>
    <w:p w14:paraId="024599E3" w14:textId="77777777" w:rsidR="004D1601" w:rsidRPr="009D2053" w:rsidRDefault="003F586E" w:rsidP="00651988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D2053">
        <w:rPr>
          <w:rFonts w:asciiTheme="majorBidi" w:hAnsiTheme="majorBidi" w:cstheme="majorBidi"/>
          <w:sz w:val="26"/>
          <w:szCs w:val="26"/>
        </w:rPr>
        <w:lastRenderedPageBreak/>
        <w:t>It is worth mentioning that t</w:t>
      </w:r>
      <w:r w:rsidR="00F2693C" w:rsidRPr="009D2053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9D2053">
        <w:rPr>
          <w:rFonts w:asciiTheme="majorBidi" w:hAnsiTheme="majorBidi" w:cstheme="majorBidi"/>
          <w:sz w:val="26"/>
          <w:szCs w:val="26"/>
        </w:rPr>
        <w:t>ts (B</w:t>
      </w:r>
      <w:r w:rsidR="00C5265D" w:rsidRPr="009D2053">
        <w:rPr>
          <w:rFonts w:asciiTheme="majorBidi" w:hAnsiTheme="majorBidi" w:cstheme="majorBidi"/>
          <w:sz w:val="26"/>
          <w:szCs w:val="26"/>
        </w:rPr>
        <w:t>o</w:t>
      </w:r>
      <w:r w:rsidR="003D6FF3" w:rsidRPr="009D2053">
        <w:rPr>
          <w:rFonts w:asciiTheme="majorBidi" w:hAnsiTheme="majorBidi" w:cstheme="majorBidi"/>
          <w:sz w:val="26"/>
          <w:szCs w:val="26"/>
        </w:rPr>
        <w:t xml:space="preserve">P) </w:t>
      </w:r>
      <w:r w:rsidR="003D6FF3" w:rsidRPr="009D2053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9D2053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9D2053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9D2053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9D2053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9D2053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9D2053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9D2053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9D2053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9D2053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9D205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9D2053">
        <w:rPr>
          <w:rFonts w:asciiTheme="majorBidi" w:hAnsiTheme="majorBidi" w:cstheme="majorBidi"/>
          <w:sz w:val="26"/>
          <w:szCs w:val="26"/>
        </w:rPr>
        <w:t>This</w:t>
      </w:r>
      <w:r w:rsidR="000042EC" w:rsidRPr="009D2053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9D2053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9D2053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9D2053">
        <w:rPr>
          <w:rFonts w:asciiTheme="majorBidi" w:hAnsiTheme="majorBidi" w:cstheme="majorBidi"/>
          <w:sz w:val="26"/>
          <w:szCs w:val="26"/>
        </w:rPr>
        <w:t>to devise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9D2053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9D2053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9D2053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9D2053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9D2053">
        <w:rPr>
          <w:rFonts w:asciiTheme="majorBidi" w:hAnsiTheme="majorBidi" w:cstheme="majorBidi"/>
          <w:sz w:val="26"/>
          <w:szCs w:val="26"/>
        </w:rPr>
        <w:t>external</w:t>
      </w:r>
      <w:r w:rsidR="00E16D50" w:rsidRPr="009D2053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9D2053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9D2053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9D2053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9D2053">
        <w:rPr>
          <w:rFonts w:asciiTheme="majorBidi" w:hAnsiTheme="majorBidi" w:cstheme="majorBidi"/>
          <w:sz w:val="26"/>
          <w:szCs w:val="26"/>
        </w:rPr>
        <w:t>. B</w:t>
      </w:r>
      <w:r w:rsidR="00C5265D" w:rsidRPr="009D2053">
        <w:rPr>
          <w:rFonts w:asciiTheme="majorBidi" w:hAnsiTheme="majorBidi" w:cstheme="majorBidi"/>
          <w:sz w:val="26"/>
          <w:szCs w:val="26"/>
        </w:rPr>
        <w:t>o</w:t>
      </w:r>
      <w:r w:rsidR="00F60F15" w:rsidRPr="009D2053">
        <w:rPr>
          <w:rFonts w:asciiTheme="majorBidi" w:hAnsiTheme="majorBidi" w:cstheme="majorBidi"/>
          <w:sz w:val="26"/>
          <w:szCs w:val="26"/>
        </w:rPr>
        <w:t>P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9D2053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9D2053">
        <w:rPr>
          <w:rFonts w:asciiTheme="majorBidi" w:hAnsiTheme="majorBidi" w:cstheme="majorBidi"/>
          <w:sz w:val="26"/>
          <w:szCs w:val="26"/>
        </w:rPr>
        <w:t>was</w:t>
      </w:r>
      <w:r w:rsidR="00F60F15" w:rsidRPr="009D2053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9D2053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9D2053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9D2053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9D2053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9D2053">
        <w:rPr>
          <w:rFonts w:asciiTheme="majorBidi" w:hAnsiTheme="majorBidi" w:cstheme="majorBidi"/>
          <w:sz w:val="26"/>
          <w:szCs w:val="26"/>
        </w:rPr>
        <w:t>situation</w:t>
      </w:r>
      <w:r w:rsidR="00613DED" w:rsidRPr="009D2053">
        <w:rPr>
          <w:rFonts w:asciiTheme="majorBidi" w:hAnsiTheme="majorBidi" w:cstheme="majorBidi"/>
          <w:sz w:val="26"/>
          <w:szCs w:val="26"/>
        </w:rPr>
        <w:t>.</w:t>
      </w:r>
    </w:p>
    <w:p w14:paraId="09CDEE2B" w14:textId="2C26CF42" w:rsidR="004267CB" w:rsidRDefault="004267CB" w:rsidP="00C85833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9D2053" w14:paraId="047E00C9" w14:textId="77777777" w:rsidTr="000818C0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227D" w14:textId="28F0F23C" w:rsidR="00B578D2" w:rsidRPr="009D2053" w:rsidRDefault="00B578D2" w:rsidP="009D205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of Payments In Palestine for the </w:t>
            </w:r>
            <w:r w:rsidR="003F61FB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E443A5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fourth </w:t>
            </w:r>
            <w:r w:rsidR="006126DC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="00FC38AC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 of</w:t>
            </w:r>
            <w:r w:rsidR="006126DC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E443A5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2024</w:t>
            </w:r>
          </w:p>
        </w:tc>
      </w:tr>
    </w:tbl>
    <w:p w14:paraId="70F0DDA8" w14:textId="77777777" w:rsidR="00B769D0" w:rsidRPr="00804C67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8245" w:type="dxa"/>
        <w:jc w:val="center"/>
        <w:tblLook w:val="04A0" w:firstRow="1" w:lastRow="0" w:firstColumn="1" w:lastColumn="0" w:noHBand="0" w:noVBand="1"/>
      </w:tblPr>
      <w:tblGrid>
        <w:gridCol w:w="5181"/>
        <w:gridCol w:w="1515"/>
        <w:gridCol w:w="339"/>
        <w:gridCol w:w="1111"/>
        <w:gridCol w:w="99"/>
      </w:tblGrid>
      <w:tr w:rsidR="00804C67" w:rsidRPr="009D2053" w14:paraId="3F0759D7" w14:textId="77777777" w:rsidTr="00B34CAF">
        <w:trPr>
          <w:trHeight w:val="330"/>
          <w:jc w:val="center"/>
        </w:trPr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4708A" w14:textId="77777777" w:rsidR="00166308" w:rsidRPr="009D2053" w:rsidRDefault="00166308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0E3760" w14:textId="77777777" w:rsidR="00166308" w:rsidRPr="009D2053" w:rsidRDefault="00166308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1E2B" w14:textId="77777777" w:rsidR="00166308" w:rsidRPr="009D2053" w:rsidRDefault="00166308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0540" w14:textId="77777777" w:rsidR="00166308" w:rsidRPr="009D2053" w:rsidRDefault="00166308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292ECF" w:rsidRPr="009D2053" w14:paraId="74E2C182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E7509" w14:textId="77777777" w:rsidR="00292ECF" w:rsidRPr="009D2053" w:rsidRDefault="00292ECF" w:rsidP="00E443A5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8B45" w14:textId="5D215A87" w:rsidR="00292ECF" w:rsidRPr="009D2053" w:rsidRDefault="00292ECF" w:rsidP="00B34CAF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Q3-2024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33486" w14:textId="0809C51A" w:rsidR="00292ECF" w:rsidRPr="009D2053" w:rsidRDefault="00292ECF" w:rsidP="00B34CAF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Q4-2024</w:t>
            </w:r>
          </w:p>
        </w:tc>
      </w:tr>
      <w:tr w:rsidR="00292ECF" w:rsidRPr="009D2053" w14:paraId="51FD4251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68759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32331" w14:textId="74D81FF7" w:rsidR="00292ECF" w:rsidRPr="009D2053" w:rsidRDefault="00612DAD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rtl/>
              </w:rPr>
              <w:t>-</w:t>
            </w:r>
            <w:r w:rsidR="00292ECF" w:rsidRPr="009D2053">
              <w:rPr>
                <w:rFonts w:asciiTheme="majorBidi" w:hAnsiTheme="majorBidi" w:cstheme="majorBidi"/>
                <w:bCs/>
                <w:i w:val="0"/>
              </w:rPr>
              <w:t>870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34" w:type="dxa"/>
              <w:jc w:val="center"/>
              <w:tblLook w:val="04A0" w:firstRow="1" w:lastRow="0" w:firstColumn="1" w:lastColumn="0" w:noHBand="0" w:noVBand="1"/>
            </w:tblPr>
            <w:tblGrid>
              <w:gridCol w:w="1234"/>
            </w:tblGrid>
            <w:tr w:rsidR="00854B11" w:rsidRPr="009D2053" w14:paraId="5369FE2C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99D72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Cs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Cs/>
                      <w:i w:val="0"/>
                    </w:rPr>
                    <w:t>-480</w:t>
                  </w:r>
                </w:p>
              </w:tc>
            </w:tr>
            <w:tr w:rsidR="00854B11" w:rsidRPr="009D2053" w14:paraId="158FE204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8BD38" w14:textId="68309909" w:rsidR="00854B11" w:rsidRPr="009D2053" w:rsidRDefault="00612DAD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Cs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Cs/>
                      <w:i w:val="0"/>
                      <w:rtl/>
                    </w:rPr>
                    <w:t>-</w:t>
                  </w:r>
                  <w:r w:rsidR="00854B11" w:rsidRPr="009D2053">
                    <w:rPr>
                      <w:rFonts w:asciiTheme="majorBidi" w:hAnsiTheme="majorBidi" w:cstheme="majorBidi"/>
                      <w:bCs/>
                      <w:i w:val="0"/>
                    </w:rPr>
                    <w:t>1075</w:t>
                  </w:r>
                </w:p>
              </w:tc>
            </w:tr>
            <w:tr w:rsidR="00854B11" w:rsidRPr="009D2053" w14:paraId="2F953952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E70AB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660</w:t>
                  </w:r>
                </w:p>
              </w:tc>
            </w:tr>
            <w:tr w:rsidR="00854B11" w:rsidRPr="009D2053" w14:paraId="3CD9E89C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4D988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1735</w:t>
                  </w:r>
                </w:p>
              </w:tc>
            </w:tr>
            <w:tr w:rsidR="00854B11" w:rsidRPr="009D2053" w14:paraId="158A012E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D76FA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-210</w:t>
                  </w:r>
                </w:p>
              </w:tc>
            </w:tr>
            <w:tr w:rsidR="00854B11" w:rsidRPr="009D2053" w14:paraId="67E7E0EE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C0991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141</w:t>
                  </w:r>
                </w:p>
              </w:tc>
            </w:tr>
            <w:tr w:rsidR="00854B11" w:rsidRPr="009D2053" w14:paraId="192BBCB1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D01D2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351</w:t>
                  </w:r>
                </w:p>
              </w:tc>
            </w:tr>
            <w:tr w:rsidR="00854B11" w:rsidRPr="009D2053" w14:paraId="1FD448FF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29F41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Cs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Cs/>
                      <w:i w:val="0"/>
                    </w:rPr>
                    <w:t>289</w:t>
                  </w:r>
                </w:p>
              </w:tc>
            </w:tr>
            <w:tr w:rsidR="00854B11" w:rsidRPr="009D2053" w14:paraId="7CCCD56D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123F2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306</w:t>
                  </w:r>
                </w:p>
              </w:tc>
            </w:tr>
            <w:tr w:rsidR="00854B11" w:rsidRPr="009D2053" w14:paraId="6D32CE7F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4A09F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178</w:t>
                  </w:r>
                </w:p>
              </w:tc>
            </w:tr>
            <w:tr w:rsidR="00854B11" w:rsidRPr="009D2053" w14:paraId="27B5A3A1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8DD11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165</w:t>
                  </w:r>
                </w:p>
              </w:tc>
            </w:tr>
            <w:tr w:rsidR="00854B11" w:rsidRPr="009D2053" w14:paraId="53DE0BA2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311C7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128</w:t>
                  </w:r>
                </w:p>
              </w:tc>
            </w:tr>
            <w:tr w:rsidR="00854B11" w:rsidRPr="009D2053" w14:paraId="7815CCBE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127F0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17</w:t>
                  </w:r>
                </w:p>
              </w:tc>
            </w:tr>
            <w:tr w:rsidR="00854B11" w:rsidRPr="009D2053" w14:paraId="36D29870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C9BD1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Cs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Cs/>
                      <w:i w:val="0"/>
                    </w:rPr>
                    <w:t>516</w:t>
                  </w:r>
                </w:p>
              </w:tc>
            </w:tr>
            <w:tr w:rsidR="00854B11" w:rsidRPr="009D2053" w14:paraId="46E45156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ECFBD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576</w:t>
                  </w:r>
                </w:p>
              </w:tc>
            </w:tr>
            <w:tr w:rsidR="00854B11" w:rsidRPr="009D2053" w14:paraId="7028DB09" w14:textId="77777777" w:rsidTr="00BE47DF">
              <w:trPr>
                <w:trHeight w:val="300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13B9D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306</w:t>
                  </w:r>
                </w:p>
              </w:tc>
            </w:tr>
            <w:tr w:rsidR="00854B11" w:rsidRPr="009D2053" w14:paraId="2E73C589" w14:textId="77777777" w:rsidTr="00BE47DF">
              <w:trPr>
                <w:trHeight w:val="315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7E2C6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296</w:t>
                  </w:r>
                </w:p>
              </w:tc>
            </w:tr>
            <w:tr w:rsidR="00854B11" w:rsidRPr="009D2053" w14:paraId="532CE871" w14:textId="77777777" w:rsidTr="00BE47DF">
              <w:trPr>
                <w:trHeight w:val="315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DD90F" w14:textId="77777777" w:rsidR="00854B11" w:rsidRPr="009D2053" w:rsidRDefault="00854B11" w:rsidP="009D2053">
                  <w:pPr>
                    <w:ind w:right="170" w:firstLineChars="100" w:firstLine="240"/>
                    <w:jc w:val="center"/>
                    <w:rPr>
                      <w:rFonts w:asciiTheme="majorBidi" w:hAnsiTheme="majorBidi" w:cstheme="majorBidi"/>
                      <w:b w:val="0"/>
                      <w:i w:val="0"/>
                    </w:rPr>
                  </w:pPr>
                  <w:r w:rsidRPr="009D2053">
                    <w:rPr>
                      <w:rFonts w:asciiTheme="majorBidi" w:hAnsiTheme="majorBidi" w:cstheme="majorBidi"/>
                      <w:b w:val="0"/>
                      <w:i w:val="0"/>
                    </w:rPr>
                    <w:t>270</w:t>
                  </w:r>
                </w:p>
              </w:tc>
            </w:tr>
          </w:tbl>
          <w:p w14:paraId="54EC76A9" w14:textId="77777777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iCs/>
                <w:rtl/>
              </w:rPr>
              <w:t>29</w:t>
            </w:r>
          </w:p>
          <w:p w14:paraId="68FD218E" w14:textId="0E911F51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60</w:t>
            </w:r>
          </w:p>
        </w:tc>
      </w:tr>
      <w:tr w:rsidR="00292ECF" w:rsidRPr="009D2053" w14:paraId="79765C19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5EF52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0B15" w14:textId="4365226E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-1,333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FA70" w14:textId="20AE200C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292ECF" w:rsidRPr="009D2053" w14:paraId="1621C690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81AE0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BDD83" w14:textId="19E6AA42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612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7F9E" w14:textId="79BD1061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33A0FD7B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B4706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07A50" w14:textId="411E66B7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1,945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9272F" w14:textId="0346CF5C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19EF3DA8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9357E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0C7F" w14:textId="465751EC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-263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7DF7" w14:textId="39BD39CA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</w:tc>
      </w:tr>
      <w:tr w:rsidR="00292ECF" w:rsidRPr="009D2053" w14:paraId="7966684D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D101B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F8685" w14:textId="1EEEA39A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131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8CFC" w14:textId="682FBF7F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322E1365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C3A1F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EA3B0" w14:textId="44070EC1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394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412D" w14:textId="556C9453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0BAA93A4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ADE70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432E0" w14:textId="5DCDEAB6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275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9F78" w14:textId="1064CC08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</w:tc>
      </w:tr>
      <w:tr w:rsidR="00292ECF" w:rsidRPr="009D2053" w14:paraId="231DDDC2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EB446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6B606" w14:textId="3FB237D6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301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992B4" w14:textId="17D4D05C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</w:p>
        </w:tc>
      </w:tr>
      <w:tr w:rsidR="00292ECF" w:rsidRPr="009D2053" w14:paraId="225EECF9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11133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DB46F" w14:textId="3314DFEA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156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8C73" w14:textId="7AF13BE8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</w:p>
        </w:tc>
      </w:tr>
      <w:tr w:rsidR="00292ECF" w:rsidRPr="009D2053" w14:paraId="37517828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D417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642B6" w14:textId="42DEDF50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iCs/>
              </w:rPr>
              <w:t>143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F9D1" w14:textId="2F597ECB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</w:p>
        </w:tc>
      </w:tr>
      <w:tr w:rsidR="00292ECF" w:rsidRPr="009D2053" w14:paraId="46B4132B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B56F8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44A06" w14:textId="7B29C897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145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F70B7" w14:textId="1EFCE77A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</w:p>
        </w:tc>
      </w:tr>
      <w:tr w:rsidR="00292ECF" w:rsidRPr="009D2053" w14:paraId="1A64B5C6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7AD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EBD29" w14:textId="0D014278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26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4AC8" w14:textId="757AB1B9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7D40C3FC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E1B9D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60FBA" w14:textId="045FA195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451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10A7" w14:textId="72E2172D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</w:tc>
      </w:tr>
      <w:tr w:rsidR="00292ECF" w:rsidRPr="009D2053" w14:paraId="5CAF696F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B9B46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0A8AB" w14:textId="63C67624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511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468E" w14:textId="57F8E5E9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544B7599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CBBD7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F02E4" w14:textId="4FAF38F1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230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B609" w14:textId="1DB0152B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2E3AC33C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B51DC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0589C" w14:textId="102844AE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221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7F56" w14:textId="6481192B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</w:p>
        </w:tc>
      </w:tr>
      <w:tr w:rsidR="00292ECF" w:rsidRPr="009D2053" w14:paraId="27E8359E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60A918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43BE75" w14:textId="73DF737E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281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CDC8" w14:textId="5543086A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6188CCE6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5DBE93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64CE84" w14:textId="5E5E9006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62A3" w14:textId="2070D130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</w:p>
        </w:tc>
      </w:tr>
      <w:tr w:rsidR="00292ECF" w:rsidRPr="009D2053" w14:paraId="134C8F6B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18C" w14:textId="77777777" w:rsidR="00292ECF" w:rsidRPr="009D2053" w:rsidRDefault="00292ECF" w:rsidP="00E443A5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A93" w14:textId="6CC81BB5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60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D1E" w14:textId="228A401B" w:rsidR="00292ECF" w:rsidRPr="009D2053" w:rsidRDefault="00292ECF" w:rsidP="009D2053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19E666A9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26B556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7B0A9" w14:textId="53DBCD50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720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F6463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rtl/>
              </w:rPr>
              <w:t>491</w:t>
            </w:r>
          </w:p>
          <w:p w14:paraId="513AFCE9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rtl/>
              </w:rPr>
              <w:t>129</w:t>
            </w:r>
          </w:p>
          <w:p w14:paraId="5F055367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129</w:t>
            </w:r>
          </w:p>
          <w:p w14:paraId="6A5D91AC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129</w:t>
            </w:r>
          </w:p>
          <w:p w14:paraId="22AA6BF9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66</w:t>
            </w:r>
          </w:p>
          <w:p w14:paraId="7EFCE5ED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iCs/>
                <w:rtl/>
              </w:rPr>
              <w:t>66</w:t>
            </w:r>
          </w:p>
          <w:p w14:paraId="470DB753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63</w:t>
            </w:r>
          </w:p>
          <w:p w14:paraId="743EB94D" w14:textId="77777777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  <w:p w14:paraId="3126004D" w14:textId="2557AA1F" w:rsidR="00292ECF" w:rsidRPr="009D2053" w:rsidRDefault="00292ECF" w:rsidP="009D2053">
            <w:pPr>
              <w:ind w:right="227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</w:tr>
      <w:tr w:rsidR="00292ECF" w:rsidRPr="009D2053" w14:paraId="6F810B02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D2F52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D3308" w14:textId="326058E5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88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7388" w14:textId="353A7104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292ECF" w:rsidRPr="009D2053" w14:paraId="7551F153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904D6D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7389E" w14:textId="353F1312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88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5558" w14:textId="5C1F9629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686167C7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A3ED9E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FB8F7" w14:textId="4FCB7720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88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E5B0" w14:textId="527D7C6F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4283E8DE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D72B22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EC27F" w14:textId="4BA5DB72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24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C546" w14:textId="69CBA768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7724C035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896FB4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F2B2E" w14:textId="34E06F91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iCs/>
              </w:rPr>
              <w:t>24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F6CFB" w14:textId="4FA073D4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</w:p>
        </w:tc>
      </w:tr>
      <w:tr w:rsidR="00292ECF" w:rsidRPr="009D2053" w14:paraId="1ECE7951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EEA817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3577D" w14:textId="2124EEA3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64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2C579" w14:textId="7AE5A256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  <w:bookmarkStart w:id="0" w:name="_GoBack"/>
        <w:bookmarkEnd w:id="0"/>
      </w:tr>
      <w:tr w:rsidR="00292ECF" w:rsidRPr="009D2053" w14:paraId="770C9414" w14:textId="77777777" w:rsidTr="00B34CAF">
        <w:trPr>
          <w:gridAfter w:val="1"/>
          <w:wAfter w:w="102" w:type="dxa"/>
          <w:trHeight w:val="330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210E167" w14:textId="77777777" w:rsidR="00292ECF" w:rsidRPr="009D2053" w:rsidRDefault="00292ECF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A4297A" w14:textId="20E39857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792D" w14:textId="7C6B03C3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292ECF" w:rsidRPr="009D2053" w14:paraId="7DA855FA" w14:textId="77777777" w:rsidTr="00B34CAF">
        <w:trPr>
          <w:gridAfter w:val="1"/>
          <w:wAfter w:w="102" w:type="dxa"/>
          <w:trHeight w:val="337"/>
          <w:jc w:val="center"/>
        </w:trPr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036" w14:textId="77777777" w:rsidR="00292ECF" w:rsidRPr="009D2053" w:rsidRDefault="00292ECF" w:rsidP="00E443A5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E5A6" w14:textId="56581320" w:rsidR="00292ECF" w:rsidRPr="009D2053" w:rsidRDefault="00292ECF" w:rsidP="009D2053">
            <w:pPr>
              <w:ind w:right="283"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9D2053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CC3" w14:textId="24F4DA81" w:rsidR="00292ECF" w:rsidRPr="009D2053" w:rsidRDefault="00292ECF" w:rsidP="009D2053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</w:tbl>
    <w:p w14:paraId="7FF15C31" w14:textId="3FB1A81E" w:rsidR="00B578D2" w:rsidRPr="00804C67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tbl>
      <w:tblPr>
        <w:tblW w:w="9544" w:type="dxa"/>
        <w:jc w:val="center"/>
        <w:tblLook w:val="04A0" w:firstRow="1" w:lastRow="0" w:firstColumn="1" w:lastColumn="0" w:noHBand="0" w:noVBand="1"/>
      </w:tblPr>
      <w:tblGrid>
        <w:gridCol w:w="1067"/>
        <w:gridCol w:w="4860"/>
        <w:gridCol w:w="1440"/>
        <w:gridCol w:w="236"/>
        <w:gridCol w:w="1386"/>
        <w:gridCol w:w="555"/>
      </w:tblGrid>
      <w:tr w:rsidR="00E443A5" w:rsidRPr="009D2053" w14:paraId="6E7E811D" w14:textId="77777777" w:rsidTr="00B34CAF">
        <w:trPr>
          <w:trHeight w:val="360"/>
          <w:jc w:val="center"/>
        </w:trPr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BE4E" w14:textId="55F074D3" w:rsidR="00E443A5" w:rsidRPr="009D2053" w:rsidRDefault="00E443A5" w:rsidP="009D205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lastRenderedPageBreak/>
              <w:t>Table 1: Balance of Payments In Palestine for the third and fourth quarter</w:t>
            </w:r>
            <w:r w:rsidR="00612DAD"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 of</w:t>
            </w:r>
            <w:r w:rsidRPr="009D2053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2024</w:t>
            </w:r>
          </w:p>
        </w:tc>
      </w:tr>
      <w:tr w:rsidR="00804C67" w:rsidRPr="009D2053" w14:paraId="720AA4F6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D541" w14:textId="77777777" w:rsidR="00166308" w:rsidRPr="009D2053" w:rsidRDefault="00166308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781B98" w14:textId="77777777" w:rsidR="00166308" w:rsidRPr="009D2053" w:rsidRDefault="0016630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F28" w14:textId="77777777" w:rsidR="00166308" w:rsidRPr="009D2053" w:rsidRDefault="0016630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042AD" w14:textId="77777777" w:rsidR="00166308" w:rsidRPr="009D2053" w:rsidRDefault="00166308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CF2450" w:rsidRPr="009D2053" w14:paraId="5AA4E48F" w14:textId="77777777" w:rsidTr="00B34CAF">
        <w:trPr>
          <w:gridBefore w:val="1"/>
          <w:gridAfter w:val="1"/>
          <w:wBefore w:w="1067" w:type="dxa"/>
          <w:wAfter w:w="555" w:type="dxa"/>
          <w:trHeight w:val="31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76176" w14:textId="77777777" w:rsidR="00CF2450" w:rsidRPr="009D2053" w:rsidRDefault="00CF2450" w:rsidP="00E443A5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B85" w14:textId="668519B9" w:rsidR="00CF2450" w:rsidRPr="009D2053" w:rsidRDefault="00CF2450" w:rsidP="00B34CAF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Pr="009D2053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9D2053">
              <w:rPr>
                <w:rFonts w:asciiTheme="majorBidi" w:hAnsiTheme="majorBidi" w:cstheme="majorBidi"/>
                <w:bCs/>
                <w:i w:val="0"/>
                <w:lang w:val="en-GB"/>
              </w:rPr>
              <w:t>-2024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27DB" w14:textId="1CBD111D" w:rsidR="00CF2450" w:rsidRPr="009D2053" w:rsidRDefault="00CF2450" w:rsidP="00B34CAF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</w:rPr>
              <w:t>Q4-2024</w:t>
            </w:r>
          </w:p>
        </w:tc>
      </w:tr>
      <w:tr w:rsidR="00CF2450" w:rsidRPr="009D2053" w14:paraId="6BAF370C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1204A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05E4C" w14:textId="1B38C9C4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632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CCD9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rtl/>
              </w:rPr>
              <w:t>362</w:t>
            </w:r>
          </w:p>
          <w:p w14:paraId="12B45908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rtl/>
              </w:rPr>
              <w:t>1</w:t>
            </w:r>
            <w:r w:rsidRPr="009D2053">
              <w:rPr>
                <w:rFonts w:asciiTheme="majorBidi" w:hAnsiTheme="majorBidi" w:cstheme="majorBidi"/>
                <w:i w:val="0"/>
                <w:iCs/>
                <w:rtl/>
              </w:rPr>
              <w:t>-</w:t>
            </w:r>
          </w:p>
          <w:p w14:paraId="2BC8443A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</w:rPr>
            </w:pPr>
            <w:r w:rsidRPr="009D2053">
              <w:rPr>
                <w:rFonts w:asciiTheme="majorBidi" w:hAnsiTheme="majorBidi" w:cstheme="majorBidi"/>
                <w:rtl/>
              </w:rPr>
              <w:t>0</w:t>
            </w:r>
          </w:p>
          <w:p w14:paraId="3CEE2103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rtl/>
              </w:rPr>
              <w:t>1</w:t>
            </w:r>
            <w:r w:rsidRPr="009D2053">
              <w:rPr>
                <w:rFonts w:asciiTheme="majorBidi" w:hAnsiTheme="majorBidi" w:cstheme="majorBidi"/>
                <w:i w:val="0"/>
                <w:iCs/>
                <w:rtl/>
              </w:rPr>
              <w:t>-</w:t>
            </w:r>
          </w:p>
          <w:p w14:paraId="167555EC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rtl/>
              </w:rPr>
              <w:t>36</w:t>
            </w:r>
          </w:p>
          <w:p w14:paraId="2E6DEC71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12</w:t>
            </w:r>
          </w:p>
          <w:p w14:paraId="4A147D3F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24</w:t>
            </w:r>
          </w:p>
          <w:p w14:paraId="0F15BDB2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rtl/>
              </w:rPr>
              <w:t>297</w:t>
            </w:r>
          </w:p>
          <w:p w14:paraId="501B070B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333</w:t>
            </w:r>
          </w:p>
          <w:p w14:paraId="37E9FF5F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rtl/>
              </w:rPr>
              <w:t>603</w:t>
            </w:r>
          </w:p>
          <w:p w14:paraId="26F6B934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rtl/>
              </w:rPr>
              <w:t>36-</w:t>
            </w:r>
          </w:p>
          <w:p w14:paraId="622BC3A0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rtl/>
              </w:rPr>
              <w:t>34-</w:t>
            </w:r>
          </w:p>
          <w:p w14:paraId="43FCB2C2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3-</w:t>
            </w:r>
          </w:p>
          <w:p w14:paraId="506289F4" w14:textId="43EDB030" w:rsidR="00CF2450" w:rsidRPr="009D2053" w:rsidRDefault="00971C5E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11</w:t>
            </w:r>
            <w:r w:rsidR="00CF2450" w:rsidRPr="009D2053">
              <w:rPr>
                <w:rFonts w:asciiTheme="majorBidi" w:hAnsiTheme="majorBidi" w:cstheme="majorBidi"/>
                <w:i w:val="0"/>
                <w:iCs/>
                <w:rtl/>
              </w:rPr>
              <w:t>-</w:t>
            </w:r>
          </w:p>
          <w:p w14:paraId="6F53286F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30</w:t>
            </w:r>
            <w:r w:rsidRPr="009D2053">
              <w:rPr>
                <w:rFonts w:asciiTheme="majorBidi" w:hAnsiTheme="majorBidi" w:cstheme="majorBidi"/>
                <w:i w:val="0"/>
                <w:iCs/>
                <w:rtl/>
              </w:rPr>
              <w:t>-</w:t>
            </w:r>
          </w:p>
          <w:p w14:paraId="64431F83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30</w:t>
            </w:r>
          </w:p>
          <w:p w14:paraId="7E1CC1B9" w14:textId="77777777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rtl/>
              </w:rPr>
              <w:t>0</w:t>
            </w:r>
          </w:p>
          <w:p w14:paraId="67A979B6" w14:textId="3040CDF2" w:rsidR="00CF2450" w:rsidRPr="009D2053" w:rsidRDefault="00CF2450" w:rsidP="00612DAD">
            <w:pPr>
              <w:ind w:right="340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rtl/>
              </w:rPr>
              <w:t>30</w:t>
            </w:r>
          </w:p>
        </w:tc>
      </w:tr>
      <w:tr w:rsidR="00CF2450" w:rsidRPr="009D2053" w14:paraId="46698274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FB1D5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61691" w14:textId="6CA12BD5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87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3080" w14:textId="72E061F8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</w:p>
        </w:tc>
      </w:tr>
      <w:tr w:rsidR="00CF2450" w:rsidRPr="009D2053" w14:paraId="116F89EC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E81D1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71B6D" w14:textId="7E1B7D17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18A" w14:textId="4977DEE3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</w:p>
        </w:tc>
      </w:tr>
      <w:tr w:rsidR="00CF2450" w:rsidRPr="009D2053" w14:paraId="1A229564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ACD97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E1629" w14:textId="7F9ADF27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87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7335" w14:textId="1AB08C16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</w:tr>
      <w:tr w:rsidR="00CF2450" w:rsidRPr="009D2053" w14:paraId="488A552E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9EEB3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72CE8" w14:textId="736FC87C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-139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4088" w14:textId="0036950A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</w:p>
        </w:tc>
      </w:tr>
      <w:tr w:rsidR="00CF2450" w:rsidRPr="009D2053" w14:paraId="3F3DF7BF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2B341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3B3E1" w14:textId="226B3DDA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-90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C68D" w14:textId="3250F9CD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</w:tr>
      <w:tr w:rsidR="00CF2450" w:rsidRPr="009D2053" w14:paraId="47FFB27B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64323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A6D01" w14:textId="073090F7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-49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E915" w14:textId="00931D86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</w:tr>
      <w:tr w:rsidR="00CF2450" w:rsidRPr="009D2053" w14:paraId="6612379A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EE915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0A0A6" w14:textId="6D36131E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852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EAC" w14:textId="25BFA68C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</w:p>
        </w:tc>
      </w:tr>
      <w:tr w:rsidR="00CF2450" w:rsidRPr="009D2053" w14:paraId="1F636BF3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BF4D9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D03DE" w14:textId="4E88595D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886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4051" w14:textId="5E6FD5FC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</w:p>
        </w:tc>
      </w:tr>
      <w:tr w:rsidR="00CF2450" w:rsidRPr="009D2053" w14:paraId="73901E68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0FAF4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84CE4" w14:textId="5FD91B2D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1,033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6E82" w14:textId="27BC4F5F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</w:tr>
      <w:tr w:rsidR="00CF2450" w:rsidRPr="009D2053" w14:paraId="03BAD4A0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B69EC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B8EED" w14:textId="26F477BF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-34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9AF" w14:textId="6B8DD0F5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</w:tr>
      <w:tr w:rsidR="00CF2450" w:rsidRPr="009D2053" w14:paraId="2935A12E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BAFF4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9F576" w14:textId="0BA2B188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>11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1F39" w14:textId="466B6605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</w:p>
        </w:tc>
      </w:tr>
      <w:tr w:rsidR="00CF2450" w:rsidRPr="009D2053" w14:paraId="4E498A70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52287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A4D16" w14:textId="7B816B65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</w:rPr>
              <w:t>-45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E9B4" w14:textId="181D2B1E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CF2450" w:rsidRPr="009D2053" w14:paraId="21A59C6A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C1D3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8C560" w14:textId="2F01FC5A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150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02AE" w14:textId="223201D7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</w:tr>
      <w:tr w:rsidR="00CF2450" w:rsidRPr="009D2053" w14:paraId="59820B53" w14:textId="77777777" w:rsidTr="00B34CAF">
        <w:trPr>
          <w:gridBefore w:val="1"/>
          <w:gridAfter w:val="1"/>
          <w:wBefore w:w="1067" w:type="dxa"/>
          <w:wAfter w:w="555" w:type="dxa"/>
          <w:trHeight w:val="406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E41C2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D929B" w14:textId="7A3AC981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rtl/>
              </w:rPr>
              <w:t>168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4EA" w14:textId="4B23A621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rtl/>
              </w:rPr>
            </w:pPr>
          </w:p>
        </w:tc>
      </w:tr>
      <w:tr w:rsidR="00CF2450" w:rsidRPr="009D2053" w14:paraId="7FEF9B39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95294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1F965" w14:textId="3C515EA3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-168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241" w14:textId="0C8509C1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</w:tr>
      <w:tr w:rsidR="00CF2450" w:rsidRPr="009D2053" w14:paraId="75570CDB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22E467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A0FF4A" w14:textId="18A867F6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CB6F" w14:textId="0D8AD750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</w:p>
        </w:tc>
      </w:tr>
      <w:tr w:rsidR="00CF2450" w:rsidRPr="009D2053" w14:paraId="283F0EB5" w14:textId="77777777" w:rsidTr="00B34CAF">
        <w:trPr>
          <w:gridBefore w:val="1"/>
          <w:gridAfter w:val="1"/>
          <w:wBefore w:w="1067" w:type="dxa"/>
          <w:wAfter w:w="555" w:type="dxa"/>
          <w:trHeight w:val="33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BDB" w14:textId="77777777" w:rsidR="00CF2450" w:rsidRPr="009D2053" w:rsidRDefault="00CF2450" w:rsidP="00E443A5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D2053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26C" w14:textId="0FA90C8E" w:rsidR="00CF2450" w:rsidRPr="009D2053" w:rsidRDefault="00CF2450" w:rsidP="00612DAD">
            <w:pPr>
              <w:ind w:right="283"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D2053">
              <w:rPr>
                <w:rFonts w:asciiTheme="majorBidi" w:hAnsiTheme="majorBidi" w:cstheme="majorBidi"/>
                <w:i w:val="0"/>
                <w:iCs/>
              </w:rPr>
              <w:t>-168</w:t>
            </w: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7F2" w14:textId="2B6F9D72" w:rsidR="00CF2450" w:rsidRPr="009D2053" w:rsidRDefault="00CF2450" w:rsidP="00E443A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</w:rPr>
            </w:pPr>
          </w:p>
        </w:tc>
      </w:tr>
    </w:tbl>
    <w:p w14:paraId="16240FE5" w14:textId="77777777" w:rsidR="00021DB6" w:rsidRPr="00804C67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541" w:type="dxa"/>
        <w:jc w:val="center"/>
        <w:tblLayout w:type="fixed"/>
        <w:tblLook w:val="0000" w:firstRow="0" w:lastRow="0" w:firstColumn="0" w:lastColumn="0" w:noHBand="0" w:noVBand="0"/>
      </w:tblPr>
      <w:tblGrid>
        <w:gridCol w:w="7541"/>
      </w:tblGrid>
      <w:tr w:rsidR="00804C67" w:rsidRPr="009D2053" w14:paraId="2B29AAC8" w14:textId="77777777" w:rsidTr="009D2053">
        <w:trPr>
          <w:trHeight w:val="594"/>
          <w:jc w:val="center"/>
        </w:trPr>
        <w:tc>
          <w:tcPr>
            <w:tcW w:w="7541" w:type="dxa"/>
            <w:vAlign w:val="center"/>
          </w:tcPr>
          <w:p w14:paraId="00828B61" w14:textId="77777777" w:rsidR="00327CC3" w:rsidRPr="009D2053" w:rsidRDefault="00327CC3" w:rsidP="00B34CAF">
            <w:pPr>
              <w:pStyle w:val="FootnoteText"/>
              <w:ind w:left="-222" w:firstLine="90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</w:rPr>
              <w:t>*The data excludes those part of Jerusalem which were annexed by Israeli occupation in 1967.</w:t>
            </w:r>
          </w:p>
        </w:tc>
      </w:tr>
      <w:tr w:rsidR="00804C67" w:rsidRPr="009D2053" w14:paraId="4F8E9AC5" w14:textId="77777777" w:rsidTr="009D2053">
        <w:trPr>
          <w:trHeight w:val="288"/>
          <w:jc w:val="center"/>
        </w:trPr>
        <w:tc>
          <w:tcPr>
            <w:tcW w:w="7541" w:type="dxa"/>
            <w:vAlign w:val="center"/>
          </w:tcPr>
          <w:p w14:paraId="78898A61" w14:textId="77777777" w:rsidR="00327CC3" w:rsidRPr="009D2053" w:rsidRDefault="00327CC3" w:rsidP="00B34CAF">
            <w:pPr>
              <w:ind w:left="-222" w:firstLine="90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**Include reserve assets.</w:t>
            </w:r>
          </w:p>
        </w:tc>
      </w:tr>
      <w:tr w:rsidR="00804C67" w:rsidRPr="009D2053" w14:paraId="7B9FC686" w14:textId="77777777" w:rsidTr="009D2053">
        <w:trPr>
          <w:trHeight w:val="288"/>
          <w:jc w:val="center"/>
        </w:trPr>
        <w:tc>
          <w:tcPr>
            <w:tcW w:w="7541" w:type="dxa"/>
            <w:vAlign w:val="center"/>
          </w:tcPr>
          <w:p w14:paraId="2CD44C9D" w14:textId="77777777" w:rsidR="00327CC3" w:rsidRPr="009D2053" w:rsidRDefault="00327CC3" w:rsidP="00B34CAF">
            <w:pPr>
              <w:ind w:left="-222" w:firstLine="90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 xml:space="preserve">***Currency and deposits: Including the cash of foreign currency in the banks and the deposits </w:t>
            </w:r>
          </w:p>
          <w:p w14:paraId="678BDCBA" w14:textId="77777777" w:rsidR="00327CC3" w:rsidRPr="009D2053" w:rsidRDefault="00327CC3" w:rsidP="00B34CAF">
            <w:pPr>
              <w:ind w:left="-222" w:firstLine="90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  <w:rtl/>
                <w:lang w:val="en-GB"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of the Palestinian institutions deposited abroad.</w:t>
            </w:r>
          </w:p>
        </w:tc>
      </w:tr>
      <w:tr w:rsidR="00327CC3" w:rsidRPr="009D2053" w14:paraId="1F35C4FE" w14:textId="77777777" w:rsidTr="009D2053">
        <w:trPr>
          <w:trHeight w:val="340"/>
          <w:jc w:val="center"/>
        </w:trPr>
        <w:tc>
          <w:tcPr>
            <w:tcW w:w="7541" w:type="dxa"/>
            <w:vAlign w:val="center"/>
          </w:tcPr>
          <w:p w14:paraId="3B9005A8" w14:textId="77777777" w:rsidR="00327CC3" w:rsidRPr="009D2053" w:rsidRDefault="00327CC3" w:rsidP="00B34CAF">
            <w:pPr>
              <w:ind w:left="-222" w:right="209" w:firstLine="90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</w:pPr>
            <w:r w:rsidRPr="009D2053">
              <w:rPr>
                <w:rFonts w:asciiTheme="majorBidi" w:hAnsiTheme="majorBidi" w:cstheme="majorBidi"/>
                <w:b w:val="0"/>
                <w:bCs/>
                <w:i w:val="0"/>
                <w:iCs/>
                <w:sz w:val="20"/>
                <w:szCs w:val="20"/>
              </w:rPr>
              <w:t>****Currency and deposits: Includes the deposits of non-residents deposited in Local banks.</w:t>
            </w:r>
          </w:p>
        </w:tc>
      </w:tr>
    </w:tbl>
    <w:p w14:paraId="6CD2F845" w14:textId="77777777" w:rsidR="00B578D2" w:rsidRPr="009D2053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 w:val="28"/>
        </w:rPr>
      </w:pPr>
    </w:p>
    <w:sectPr w:rsidR="00B578D2" w:rsidRPr="009D2053" w:rsidSect="009D2053">
      <w:footerReference w:type="default" r:id="rId8"/>
      <w:pgSz w:w="11907" w:h="16839" w:code="9"/>
      <w:pgMar w:top="144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97BC" w14:textId="77777777" w:rsidR="007041F4" w:rsidRDefault="007041F4" w:rsidP="00885BEC">
      <w:r>
        <w:separator/>
      </w:r>
    </w:p>
  </w:endnote>
  <w:endnote w:type="continuationSeparator" w:id="0">
    <w:p w14:paraId="1D6695B5" w14:textId="77777777" w:rsidR="007041F4" w:rsidRDefault="007041F4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97739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14:paraId="6376F9F7" w14:textId="0B667DC6" w:rsidR="00C85833" w:rsidRPr="00C85833" w:rsidRDefault="00C85833">
        <w:pPr>
          <w:pStyle w:val="Footer"/>
          <w:jc w:val="center"/>
          <w:rPr>
            <w:i w:val="0"/>
            <w:iCs/>
          </w:rPr>
        </w:pPr>
        <w:r w:rsidRPr="00C85833">
          <w:rPr>
            <w:i w:val="0"/>
            <w:iCs/>
          </w:rPr>
          <w:fldChar w:fldCharType="begin"/>
        </w:r>
        <w:r w:rsidRPr="00C85833">
          <w:rPr>
            <w:i w:val="0"/>
            <w:iCs/>
          </w:rPr>
          <w:instrText xml:space="preserve"> PAGE   \* MERGEFORMAT </w:instrText>
        </w:r>
        <w:r w:rsidRPr="00C85833">
          <w:rPr>
            <w:i w:val="0"/>
            <w:iCs/>
          </w:rPr>
          <w:fldChar w:fldCharType="separate"/>
        </w:r>
        <w:r>
          <w:rPr>
            <w:i w:val="0"/>
            <w:iCs/>
            <w:noProof/>
          </w:rPr>
          <w:t>1</w:t>
        </w:r>
        <w:r w:rsidRPr="00C85833">
          <w:rPr>
            <w:i w:val="0"/>
            <w:iCs/>
            <w:noProof/>
          </w:rPr>
          <w:fldChar w:fldCharType="end"/>
        </w:r>
      </w:p>
    </w:sdtContent>
  </w:sdt>
  <w:p w14:paraId="1331AE41" w14:textId="77777777" w:rsidR="00C85833" w:rsidRDefault="00C85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6C5E" w14:textId="77777777" w:rsidR="007041F4" w:rsidRDefault="007041F4" w:rsidP="00885BEC">
      <w:r>
        <w:separator/>
      </w:r>
    </w:p>
  </w:footnote>
  <w:footnote w:type="continuationSeparator" w:id="0">
    <w:p w14:paraId="043F144F" w14:textId="77777777" w:rsidR="007041F4" w:rsidRDefault="007041F4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2B3"/>
    <w:multiLevelType w:val="hybridMultilevel"/>
    <w:tmpl w:val="2F1A72A2"/>
    <w:lvl w:ilvl="0" w:tplc="BDDE6662">
      <w:start w:val="870"/>
      <w:numFmt w:val="bullet"/>
      <w:lvlText w:val="*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57"/>
    <w:rsid w:val="00000446"/>
    <w:rsid w:val="000042EC"/>
    <w:rsid w:val="000072F1"/>
    <w:rsid w:val="0001167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3978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8AD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04F8"/>
    <w:rsid w:val="000E2A47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7AC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6630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1B8B"/>
    <w:rsid w:val="001933C3"/>
    <w:rsid w:val="0019579D"/>
    <w:rsid w:val="00196708"/>
    <w:rsid w:val="001979D9"/>
    <w:rsid w:val="001A3990"/>
    <w:rsid w:val="001A4A43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478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1CA0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9E9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69FD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08AB"/>
    <w:rsid w:val="00292ECF"/>
    <w:rsid w:val="002930BA"/>
    <w:rsid w:val="002945F6"/>
    <w:rsid w:val="00295C09"/>
    <w:rsid w:val="00297E85"/>
    <w:rsid w:val="002A0947"/>
    <w:rsid w:val="002A2AEE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27CE0"/>
    <w:rsid w:val="003312A1"/>
    <w:rsid w:val="00334E32"/>
    <w:rsid w:val="0033623F"/>
    <w:rsid w:val="0033635F"/>
    <w:rsid w:val="0034096B"/>
    <w:rsid w:val="003427AC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0EA9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61FB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15CC"/>
    <w:rsid w:val="0042254C"/>
    <w:rsid w:val="004246CA"/>
    <w:rsid w:val="004267CB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47006"/>
    <w:rsid w:val="00450B29"/>
    <w:rsid w:val="00451315"/>
    <w:rsid w:val="004531AA"/>
    <w:rsid w:val="00453BCE"/>
    <w:rsid w:val="0045406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3944"/>
    <w:rsid w:val="00494846"/>
    <w:rsid w:val="00494AD4"/>
    <w:rsid w:val="004954C4"/>
    <w:rsid w:val="00496B58"/>
    <w:rsid w:val="004A16FB"/>
    <w:rsid w:val="004A6FCF"/>
    <w:rsid w:val="004B218C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205"/>
    <w:rsid w:val="004D1601"/>
    <w:rsid w:val="004D31DC"/>
    <w:rsid w:val="004D4408"/>
    <w:rsid w:val="004D5A71"/>
    <w:rsid w:val="004E120D"/>
    <w:rsid w:val="004E2CDA"/>
    <w:rsid w:val="004E3896"/>
    <w:rsid w:val="004E55BF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97FFD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26DC"/>
    <w:rsid w:val="00612DAD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B5B"/>
    <w:rsid w:val="00640F9C"/>
    <w:rsid w:val="00640FE6"/>
    <w:rsid w:val="006419A4"/>
    <w:rsid w:val="0064727B"/>
    <w:rsid w:val="0065065D"/>
    <w:rsid w:val="00651988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41F4"/>
    <w:rsid w:val="00706393"/>
    <w:rsid w:val="007079B1"/>
    <w:rsid w:val="00710F11"/>
    <w:rsid w:val="00710F52"/>
    <w:rsid w:val="007115CF"/>
    <w:rsid w:val="007117F4"/>
    <w:rsid w:val="00713756"/>
    <w:rsid w:val="00722514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87D7C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A6A1B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4C67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6A5"/>
    <w:rsid w:val="00837C26"/>
    <w:rsid w:val="008442FD"/>
    <w:rsid w:val="008443CF"/>
    <w:rsid w:val="00851D2D"/>
    <w:rsid w:val="00852594"/>
    <w:rsid w:val="00854B11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B6B4C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250"/>
    <w:rsid w:val="008F6F10"/>
    <w:rsid w:val="008F7C8A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1C5E"/>
    <w:rsid w:val="00972174"/>
    <w:rsid w:val="00972CA0"/>
    <w:rsid w:val="00972DC3"/>
    <w:rsid w:val="00973F8F"/>
    <w:rsid w:val="009759A6"/>
    <w:rsid w:val="009774E2"/>
    <w:rsid w:val="00977D07"/>
    <w:rsid w:val="0098022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2053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0BC6"/>
    <w:rsid w:val="00A32B2A"/>
    <w:rsid w:val="00A33B95"/>
    <w:rsid w:val="00A34663"/>
    <w:rsid w:val="00A34F5B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47231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B9F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25A0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4CAF"/>
    <w:rsid w:val="00B3693F"/>
    <w:rsid w:val="00B37296"/>
    <w:rsid w:val="00B372CD"/>
    <w:rsid w:val="00B40E13"/>
    <w:rsid w:val="00B4280F"/>
    <w:rsid w:val="00B42E2F"/>
    <w:rsid w:val="00B43628"/>
    <w:rsid w:val="00B442CF"/>
    <w:rsid w:val="00B4466E"/>
    <w:rsid w:val="00B4498B"/>
    <w:rsid w:val="00B5657B"/>
    <w:rsid w:val="00B578D2"/>
    <w:rsid w:val="00B61F2B"/>
    <w:rsid w:val="00B624DC"/>
    <w:rsid w:val="00B62E1B"/>
    <w:rsid w:val="00B63C24"/>
    <w:rsid w:val="00B64638"/>
    <w:rsid w:val="00B64C52"/>
    <w:rsid w:val="00B65CDD"/>
    <w:rsid w:val="00B75768"/>
    <w:rsid w:val="00B769D0"/>
    <w:rsid w:val="00B8100F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168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C6B2B"/>
    <w:rsid w:val="00BD01F1"/>
    <w:rsid w:val="00BD1334"/>
    <w:rsid w:val="00BD434B"/>
    <w:rsid w:val="00BD5433"/>
    <w:rsid w:val="00BD5E21"/>
    <w:rsid w:val="00BD6496"/>
    <w:rsid w:val="00BE0BE4"/>
    <w:rsid w:val="00BE39E1"/>
    <w:rsid w:val="00BE517D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404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55737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833"/>
    <w:rsid w:val="00C85D0B"/>
    <w:rsid w:val="00C869DC"/>
    <w:rsid w:val="00C87CE8"/>
    <w:rsid w:val="00C923A0"/>
    <w:rsid w:val="00C92770"/>
    <w:rsid w:val="00C9485F"/>
    <w:rsid w:val="00C95F13"/>
    <w:rsid w:val="00C973BB"/>
    <w:rsid w:val="00CA0BCF"/>
    <w:rsid w:val="00CA131A"/>
    <w:rsid w:val="00CA140F"/>
    <w:rsid w:val="00CA323C"/>
    <w:rsid w:val="00CA332B"/>
    <w:rsid w:val="00CA33C3"/>
    <w:rsid w:val="00CA3918"/>
    <w:rsid w:val="00CA3989"/>
    <w:rsid w:val="00CA642A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450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428C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4893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5171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0613"/>
    <w:rsid w:val="00E27F13"/>
    <w:rsid w:val="00E30EFE"/>
    <w:rsid w:val="00E34380"/>
    <w:rsid w:val="00E35092"/>
    <w:rsid w:val="00E35DA1"/>
    <w:rsid w:val="00E37CCD"/>
    <w:rsid w:val="00E40AB8"/>
    <w:rsid w:val="00E4153C"/>
    <w:rsid w:val="00E443A5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816FB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5A4E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5A2"/>
    <w:rsid w:val="00FC2F0B"/>
    <w:rsid w:val="00FC38AC"/>
    <w:rsid w:val="00FD4E2D"/>
    <w:rsid w:val="00FD50F5"/>
    <w:rsid w:val="00FD5154"/>
    <w:rsid w:val="00FD574D"/>
    <w:rsid w:val="00FD7FA8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66FD"/>
  <w15:docId w15:val="{174A6C1D-7EC1-4EAD-A9A2-7A3CFA8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7A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4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EECE-14F0-4588-854B-B561B6BB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202</cp:revision>
  <cp:lastPrinted>2025-03-24T07:36:00Z</cp:lastPrinted>
  <dcterms:created xsi:type="dcterms:W3CDTF">2019-06-20T12:10:00Z</dcterms:created>
  <dcterms:modified xsi:type="dcterms:W3CDTF">2025-03-25T11:40:00Z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