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D1" w:rsidRDefault="000C1ED1" w:rsidP="000C1ED1">
      <w:pPr>
        <w:keepNext/>
        <w:bidi w:val="0"/>
        <w:jc w:val="center"/>
        <w:outlineLvl w:val="2"/>
        <w:rPr>
          <w:b/>
          <w:bCs/>
          <w:sz w:val="32"/>
          <w:szCs w:val="32"/>
          <w:lang w:eastAsia="en-US"/>
        </w:rPr>
      </w:pPr>
      <w:bookmarkStart w:id="0" w:name="_GoBack"/>
      <w:bookmarkEnd w:id="0"/>
      <w:r>
        <w:rPr>
          <w:b/>
          <w:bCs/>
          <w:sz w:val="32"/>
          <w:szCs w:val="32"/>
          <w:lang w:eastAsia="en-US"/>
        </w:rPr>
        <w:t>Palestinian Central Bureau of Statistics (PCBS)</w:t>
      </w:r>
    </w:p>
    <w:p w:rsidR="000C1ED1" w:rsidRDefault="000C1ED1" w:rsidP="000C1ED1">
      <w:pPr>
        <w:bidi w:val="0"/>
        <w:jc w:val="both"/>
        <w:rPr>
          <w:b/>
          <w:bCs/>
          <w:color w:val="000000"/>
          <w:sz w:val="26"/>
          <w:szCs w:val="26"/>
          <w:lang w:eastAsia="en-US"/>
        </w:rPr>
      </w:pPr>
    </w:p>
    <w:p w:rsidR="00681E97" w:rsidRDefault="00681E97" w:rsidP="00681E97">
      <w:pPr>
        <w:bidi w:val="0"/>
        <w:jc w:val="center"/>
        <w:rPr>
          <w:b/>
          <w:bCs/>
          <w:color w:val="000000"/>
          <w:sz w:val="28"/>
          <w:szCs w:val="28"/>
          <w:lang w:eastAsia="en-US"/>
        </w:rPr>
      </w:pPr>
    </w:p>
    <w:p w:rsidR="00FE2D4D" w:rsidRPr="00681E97" w:rsidRDefault="00FE2D4D" w:rsidP="00681E97">
      <w:pPr>
        <w:bidi w:val="0"/>
        <w:jc w:val="center"/>
        <w:rPr>
          <w:color w:val="000000"/>
          <w:sz w:val="32"/>
          <w:szCs w:val="32"/>
          <w:lang w:eastAsia="en-US"/>
        </w:rPr>
      </w:pPr>
      <w:r w:rsidRPr="00681E97">
        <w:rPr>
          <w:b/>
          <w:bCs/>
          <w:color w:val="000000"/>
          <w:sz w:val="32"/>
          <w:szCs w:val="32"/>
          <w:lang w:eastAsia="en-US"/>
        </w:rPr>
        <w:t>Unprecedented Increase in Consumer Prices levels during 2024.</w:t>
      </w:r>
    </w:p>
    <w:p w:rsidR="00681E97" w:rsidRPr="006E046A" w:rsidRDefault="00681E97" w:rsidP="00681E97">
      <w:pPr>
        <w:bidi w:val="0"/>
        <w:jc w:val="center"/>
        <w:rPr>
          <w:color w:val="000000"/>
          <w:sz w:val="28"/>
          <w:szCs w:val="28"/>
          <w:lang w:eastAsia="en-US"/>
        </w:rPr>
      </w:pPr>
    </w:p>
    <w:p w:rsidR="00FE2D4D" w:rsidRPr="006E046A" w:rsidRDefault="00FE2D4D" w:rsidP="00D32E30">
      <w:pPr>
        <w:bidi w:val="0"/>
        <w:jc w:val="both"/>
        <w:rPr>
          <w:color w:val="000000"/>
          <w:sz w:val="26"/>
          <w:szCs w:val="26"/>
          <w:lang w:eastAsia="en-US"/>
        </w:rPr>
      </w:pPr>
      <w:r w:rsidRPr="006E046A">
        <w:rPr>
          <w:color w:val="000000"/>
          <w:sz w:val="26"/>
          <w:szCs w:val="26"/>
          <w:lang w:eastAsia="en-US"/>
        </w:rPr>
        <w:t xml:space="preserve">A sharp increase in the Consumer Price </w:t>
      </w:r>
      <w:r w:rsidR="00D32E30" w:rsidRPr="006E046A">
        <w:rPr>
          <w:color w:val="000000"/>
          <w:sz w:val="26"/>
          <w:szCs w:val="26"/>
          <w:lang w:eastAsia="en-US"/>
        </w:rPr>
        <w:t xml:space="preserve">Index (CPI) in Palestine during </w:t>
      </w:r>
      <w:r w:rsidRPr="006E046A">
        <w:rPr>
          <w:color w:val="000000"/>
          <w:sz w:val="26"/>
          <w:szCs w:val="26"/>
          <w:lang w:eastAsia="en-US"/>
        </w:rPr>
        <w:t>2024 compared with 2023, driven by prices levels that Gaza Strip markets had never witnessed before, as a result of the Israeli aggression against Gaza Strip since October 7</w:t>
      </w:r>
      <w:r w:rsidRPr="006E046A">
        <w:rPr>
          <w:color w:val="000000"/>
          <w:sz w:val="26"/>
          <w:szCs w:val="26"/>
          <w:vertAlign w:val="superscript"/>
          <w:lang w:eastAsia="en-US"/>
        </w:rPr>
        <w:t>th</w:t>
      </w:r>
      <w:r w:rsidRPr="006E046A">
        <w:rPr>
          <w:color w:val="000000"/>
          <w:sz w:val="26"/>
          <w:szCs w:val="26"/>
          <w:lang w:eastAsia="en-US"/>
        </w:rPr>
        <w:t>, 2023, as consumer prices increased by 237.98% in Gaza Strip, 3.84% in Jerusalem J1*, and 2.48% in the West Bank**. </w:t>
      </w:r>
      <w:r w:rsidRPr="006E046A">
        <w:rPr>
          <w:b/>
          <w:bCs/>
          <w:color w:val="000000"/>
          <w:sz w:val="26"/>
          <w:szCs w:val="26"/>
          <w:lang w:eastAsia="en-US"/>
        </w:rPr>
        <w:t> </w:t>
      </w:r>
    </w:p>
    <w:p w:rsidR="00FE2D4D" w:rsidRPr="006E046A" w:rsidRDefault="00FE2D4D" w:rsidP="00E52D77">
      <w:pPr>
        <w:bidi w:val="0"/>
        <w:jc w:val="both"/>
        <w:rPr>
          <w:b/>
          <w:bCs/>
          <w:color w:val="000000"/>
          <w:sz w:val="26"/>
          <w:szCs w:val="26"/>
          <w:lang w:eastAsia="en-US"/>
        </w:rPr>
      </w:pPr>
    </w:p>
    <w:p w:rsidR="00E52D77" w:rsidRPr="00463CF6" w:rsidRDefault="00E52D77" w:rsidP="00E52D77">
      <w:pPr>
        <w:bidi w:val="0"/>
        <w:spacing w:after="240"/>
        <w:jc w:val="both"/>
        <w:rPr>
          <w:b/>
          <w:bCs/>
          <w:color w:val="000000"/>
          <w:lang w:eastAsia="en-US"/>
        </w:rPr>
      </w:pPr>
      <w:r w:rsidRPr="00463CF6">
        <w:rPr>
          <w:b/>
          <w:bCs/>
          <w:color w:val="000000"/>
          <w:sz w:val="26"/>
          <w:szCs w:val="26"/>
          <w:lang w:eastAsia="en-US"/>
        </w:rPr>
        <w:t>The table shows the percent change in the CPI during the last four years by region: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983"/>
        <w:gridCol w:w="902"/>
        <w:gridCol w:w="766"/>
        <w:gridCol w:w="1094"/>
      </w:tblGrid>
      <w:tr w:rsidR="00E52D77" w:rsidRPr="003D0A3E" w:rsidTr="00DA2FD7">
        <w:trPr>
          <w:trHeight w:val="284"/>
          <w:tblHeader/>
        </w:trPr>
        <w:tc>
          <w:tcPr>
            <w:tcW w:w="1194" w:type="dxa"/>
            <w:shd w:val="clear" w:color="auto" w:fill="auto"/>
            <w:vAlign w:val="center"/>
          </w:tcPr>
          <w:p w:rsidR="00E52D77" w:rsidRPr="00681E97" w:rsidRDefault="00E52D77" w:rsidP="00DA2FD7">
            <w:pPr>
              <w:bidi w:val="0"/>
              <w:spacing w:after="240"/>
              <w:jc w:val="center"/>
              <w:rPr>
                <w:b/>
                <w:bCs/>
                <w:color w:val="000000"/>
                <w:sz w:val="20"/>
                <w:szCs w:val="20"/>
              </w:rPr>
            </w:pPr>
            <w:r w:rsidRPr="00681E97">
              <w:rPr>
                <w:b/>
                <w:bCs/>
                <w:color w:val="000000"/>
                <w:sz w:val="20"/>
                <w:szCs w:val="20"/>
              </w:rPr>
              <w:t>Year</w:t>
            </w:r>
          </w:p>
        </w:tc>
        <w:tc>
          <w:tcPr>
            <w:tcW w:w="983" w:type="dxa"/>
            <w:shd w:val="clear" w:color="auto" w:fill="auto"/>
            <w:vAlign w:val="center"/>
          </w:tcPr>
          <w:p w:rsidR="00E52D77" w:rsidRPr="00681E97" w:rsidRDefault="00E52D77" w:rsidP="00DA2FD7">
            <w:pPr>
              <w:bidi w:val="0"/>
              <w:spacing w:after="240"/>
              <w:jc w:val="center"/>
              <w:rPr>
                <w:b/>
                <w:bCs/>
                <w:color w:val="000000"/>
                <w:sz w:val="20"/>
                <w:szCs w:val="20"/>
              </w:rPr>
            </w:pPr>
            <w:r w:rsidRPr="00681E97">
              <w:rPr>
                <w:b/>
                <w:bCs/>
                <w:sz w:val="20"/>
                <w:szCs w:val="20"/>
              </w:rPr>
              <w:t>Palestine</w:t>
            </w:r>
          </w:p>
        </w:tc>
        <w:tc>
          <w:tcPr>
            <w:tcW w:w="902" w:type="dxa"/>
            <w:shd w:val="clear" w:color="auto" w:fill="auto"/>
            <w:vAlign w:val="center"/>
          </w:tcPr>
          <w:p w:rsidR="00E52D77" w:rsidRPr="00681E97" w:rsidRDefault="00E52D77" w:rsidP="00DA2FD7">
            <w:pPr>
              <w:bidi w:val="0"/>
              <w:spacing w:after="240"/>
              <w:jc w:val="center"/>
              <w:rPr>
                <w:b/>
                <w:bCs/>
                <w:color w:val="000000"/>
                <w:sz w:val="20"/>
                <w:szCs w:val="20"/>
              </w:rPr>
            </w:pPr>
            <w:r w:rsidRPr="00681E97">
              <w:rPr>
                <w:b/>
                <w:bCs/>
                <w:color w:val="000000"/>
                <w:sz w:val="20"/>
                <w:szCs w:val="20"/>
              </w:rPr>
              <w:t>West Bank**</w:t>
            </w:r>
          </w:p>
        </w:tc>
        <w:tc>
          <w:tcPr>
            <w:tcW w:w="720" w:type="dxa"/>
            <w:shd w:val="clear" w:color="auto" w:fill="auto"/>
            <w:vAlign w:val="center"/>
          </w:tcPr>
          <w:p w:rsidR="00E52D77" w:rsidRPr="00681E97" w:rsidRDefault="00E52D77" w:rsidP="00DA2FD7">
            <w:pPr>
              <w:bidi w:val="0"/>
              <w:spacing w:after="240"/>
              <w:jc w:val="center"/>
              <w:rPr>
                <w:b/>
                <w:bCs/>
                <w:color w:val="000000"/>
                <w:sz w:val="20"/>
                <w:szCs w:val="20"/>
              </w:rPr>
            </w:pPr>
            <w:r w:rsidRPr="00681E97">
              <w:rPr>
                <w:b/>
                <w:bCs/>
                <w:color w:val="000000"/>
                <w:sz w:val="20"/>
                <w:szCs w:val="20"/>
              </w:rPr>
              <w:t>Gaza Strip</w:t>
            </w:r>
          </w:p>
        </w:tc>
        <w:tc>
          <w:tcPr>
            <w:tcW w:w="1094" w:type="dxa"/>
            <w:shd w:val="clear" w:color="auto" w:fill="auto"/>
            <w:vAlign w:val="center"/>
          </w:tcPr>
          <w:p w:rsidR="00E52D77" w:rsidRPr="00681E97" w:rsidRDefault="00E52D77" w:rsidP="00DA2FD7">
            <w:pPr>
              <w:bidi w:val="0"/>
              <w:spacing w:after="240"/>
              <w:jc w:val="center"/>
              <w:rPr>
                <w:b/>
                <w:bCs/>
                <w:color w:val="000000"/>
                <w:sz w:val="20"/>
                <w:szCs w:val="20"/>
              </w:rPr>
            </w:pPr>
            <w:r w:rsidRPr="00681E97">
              <w:rPr>
                <w:b/>
                <w:bCs/>
                <w:color w:val="000000"/>
                <w:sz w:val="20"/>
                <w:szCs w:val="20"/>
              </w:rPr>
              <w:t>Jerusalem J1*</w:t>
            </w:r>
          </w:p>
        </w:tc>
      </w:tr>
      <w:tr w:rsidR="00E52D77" w:rsidRPr="003D0A3E" w:rsidTr="00DA2FD7">
        <w:tc>
          <w:tcPr>
            <w:tcW w:w="11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2021</w:t>
            </w:r>
          </w:p>
        </w:tc>
        <w:tc>
          <w:tcPr>
            <w:tcW w:w="983"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1.24</w:t>
            </w:r>
          </w:p>
        </w:tc>
        <w:tc>
          <w:tcPr>
            <w:tcW w:w="902"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1.41</w:t>
            </w:r>
          </w:p>
        </w:tc>
        <w:tc>
          <w:tcPr>
            <w:tcW w:w="720"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0.27</w:t>
            </w:r>
          </w:p>
        </w:tc>
        <w:tc>
          <w:tcPr>
            <w:tcW w:w="10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1.95</w:t>
            </w:r>
          </w:p>
        </w:tc>
      </w:tr>
      <w:tr w:rsidR="00E52D77" w:rsidRPr="003D0A3E" w:rsidTr="00DA2FD7">
        <w:tc>
          <w:tcPr>
            <w:tcW w:w="11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2022</w:t>
            </w:r>
          </w:p>
        </w:tc>
        <w:tc>
          <w:tcPr>
            <w:tcW w:w="983"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3.74</w:t>
            </w:r>
          </w:p>
        </w:tc>
        <w:tc>
          <w:tcPr>
            <w:tcW w:w="902"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3.74</w:t>
            </w:r>
          </w:p>
        </w:tc>
        <w:tc>
          <w:tcPr>
            <w:tcW w:w="720"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3.16</w:t>
            </w:r>
          </w:p>
        </w:tc>
        <w:tc>
          <w:tcPr>
            <w:tcW w:w="10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4.70</w:t>
            </w:r>
          </w:p>
        </w:tc>
      </w:tr>
      <w:tr w:rsidR="00E52D77" w:rsidRPr="003D0A3E" w:rsidTr="00DA2FD7">
        <w:tc>
          <w:tcPr>
            <w:tcW w:w="11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2023</w:t>
            </w:r>
          </w:p>
        </w:tc>
        <w:tc>
          <w:tcPr>
            <w:tcW w:w="983"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5.87</w:t>
            </w:r>
          </w:p>
        </w:tc>
        <w:tc>
          <w:tcPr>
            <w:tcW w:w="902"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4.77</w:t>
            </w:r>
          </w:p>
        </w:tc>
        <w:tc>
          <w:tcPr>
            <w:tcW w:w="720"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10.53</w:t>
            </w:r>
          </w:p>
        </w:tc>
        <w:tc>
          <w:tcPr>
            <w:tcW w:w="10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4.05</w:t>
            </w:r>
          </w:p>
        </w:tc>
      </w:tr>
      <w:tr w:rsidR="00E52D77" w:rsidRPr="003D0A3E" w:rsidTr="00DA2FD7">
        <w:tc>
          <w:tcPr>
            <w:tcW w:w="11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2024</w:t>
            </w:r>
          </w:p>
        </w:tc>
        <w:tc>
          <w:tcPr>
            <w:tcW w:w="983"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53.67</w:t>
            </w:r>
          </w:p>
        </w:tc>
        <w:tc>
          <w:tcPr>
            <w:tcW w:w="902"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2.48</w:t>
            </w:r>
          </w:p>
        </w:tc>
        <w:tc>
          <w:tcPr>
            <w:tcW w:w="720"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237.98</w:t>
            </w:r>
          </w:p>
        </w:tc>
        <w:tc>
          <w:tcPr>
            <w:tcW w:w="10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3.84</w:t>
            </w:r>
          </w:p>
        </w:tc>
      </w:tr>
      <w:tr w:rsidR="00E52D77" w:rsidRPr="003D0A3E" w:rsidTr="00DA2FD7">
        <w:tc>
          <w:tcPr>
            <w:tcW w:w="11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2024 - 2021</w:t>
            </w:r>
          </w:p>
        </w:tc>
        <w:tc>
          <w:tcPr>
            <w:tcW w:w="983"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70.87</w:t>
            </w:r>
          </w:p>
        </w:tc>
        <w:tc>
          <w:tcPr>
            <w:tcW w:w="902"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12.95</w:t>
            </w:r>
          </w:p>
        </w:tc>
        <w:tc>
          <w:tcPr>
            <w:tcW w:w="720"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286.44</w:t>
            </w:r>
          </w:p>
        </w:tc>
        <w:tc>
          <w:tcPr>
            <w:tcW w:w="1094" w:type="dxa"/>
            <w:shd w:val="clear" w:color="auto" w:fill="auto"/>
            <w:vAlign w:val="center"/>
          </w:tcPr>
          <w:p w:rsidR="00E52D77" w:rsidRPr="00681E97" w:rsidRDefault="00E52D77" w:rsidP="00DA2FD7">
            <w:pPr>
              <w:bidi w:val="0"/>
              <w:ind w:right="-180"/>
              <w:rPr>
                <w:rFonts w:cs="Simplified Arabic" w:hint="cs"/>
                <w:b/>
                <w:bCs/>
                <w:sz w:val="20"/>
                <w:szCs w:val="20"/>
                <w:rtl/>
              </w:rPr>
            </w:pPr>
            <w:r w:rsidRPr="00681E97">
              <w:rPr>
                <w:rFonts w:cs="Simplified Arabic" w:hint="cs"/>
                <w:b/>
                <w:bCs/>
                <w:sz w:val="20"/>
                <w:szCs w:val="20"/>
                <w:rtl/>
              </w:rPr>
              <w:t>15.33</w:t>
            </w:r>
          </w:p>
        </w:tc>
      </w:tr>
    </w:tbl>
    <w:p w:rsidR="0052473F" w:rsidRPr="0024378C" w:rsidRDefault="000C7C6C" w:rsidP="0024378C">
      <w:pPr>
        <w:bidi w:val="0"/>
        <w:spacing w:line="360" w:lineRule="atLeast"/>
        <w:jc w:val="both"/>
        <w:rPr>
          <w:color w:val="000000"/>
          <w:lang w:eastAsia="en-US"/>
        </w:rPr>
      </w:pPr>
      <w:r w:rsidRPr="000C7C6C">
        <w:rPr>
          <w:b/>
          <w:bCs/>
          <w:color w:val="000000"/>
          <w:lang w:eastAsia="en-US"/>
        </w:rPr>
        <w:t> </w:t>
      </w:r>
      <w:r w:rsidRPr="000C7C6C">
        <w:rPr>
          <w:color w:val="000000"/>
          <w:sz w:val="26"/>
          <w:szCs w:val="26"/>
          <w:lang w:eastAsia="en-US"/>
        </w:rPr>
        <w:t> </w:t>
      </w:r>
    </w:p>
    <w:p w:rsidR="00FE2D4D" w:rsidRPr="006E046A" w:rsidRDefault="00FE2D4D" w:rsidP="00FE2D4D">
      <w:pPr>
        <w:bidi w:val="0"/>
        <w:jc w:val="both"/>
        <w:rPr>
          <w:color w:val="000000"/>
          <w:sz w:val="28"/>
          <w:szCs w:val="28"/>
          <w:lang w:eastAsia="en-US"/>
        </w:rPr>
      </w:pPr>
      <w:r w:rsidRPr="006E046A">
        <w:rPr>
          <w:b/>
          <w:bCs/>
          <w:color w:val="000000"/>
          <w:sz w:val="28"/>
          <w:szCs w:val="28"/>
          <w:lang w:eastAsia="en-US"/>
        </w:rPr>
        <w:t>A sharp decline in the purchasing power during 2024</w:t>
      </w:r>
    </w:p>
    <w:p w:rsidR="00FE2D4D" w:rsidRPr="006E046A" w:rsidRDefault="00FE2D4D" w:rsidP="00FE2D4D">
      <w:pPr>
        <w:bidi w:val="0"/>
        <w:jc w:val="both"/>
        <w:rPr>
          <w:color w:val="000000"/>
          <w:sz w:val="28"/>
          <w:szCs w:val="28"/>
          <w:lang w:eastAsia="en-US"/>
        </w:rPr>
      </w:pPr>
      <w:r w:rsidRPr="006E046A">
        <w:rPr>
          <w:color w:val="000000"/>
          <w:sz w:val="28"/>
          <w:szCs w:val="28"/>
          <w:lang w:eastAsia="en-US"/>
        </w:rPr>
        <w:t>The continued Israeli aggression against Gaza Strip during 2024 has had the most significant impact on the increase in the prices of consumer goods, where the CPI recorded a sharp increase by 53.67% in Palestine during 2024, which led to a decline in the purchasing power by 34.93%. Gaza Strip recorded the highest decline percentage in purchasing power, as it declined by 70.41%, while it declined by 3.7% in Jerusalem J1*, and by 2.42% in the West Bank**. Such decline led to increase in the burdens of Palestinian families, and their inability to meet the basic needs of goods and services, as a result of the unprecedented increase in prices levels witnessed in Gaza Strip markets. Yet, the West Bank markets ** were not spared from the negative impact of high prices levels, in light of the closures, invasions and dismemberment of major cities during 2024.</w:t>
      </w:r>
    </w:p>
    <w:p w:rsidR="00FE2D4D" w:rsidRPr="006E046A" w:rsidRDefault="00FE2D4D" w:rsidP="00FE2D4D">
      <w:pPr>
        <w:bidi w:val="0"/>
        <w:jc w:val="both"/>
        <w:rPr>
          <w:color w:val="000000"/>
          <w:sz w:val="28"/>
          <w:szCs w:val="28"/>
          <w:lang w:eastAsia="en-US"/>
        </w:rPr>
      </w:pPr>
      <w:r w:rsidRPr="006E046A">
        <w:rPr>
          <w:color w:val="000000"/>
          <w:sz w:val="28"/>
          <w:szCs w:val="28"/>
          <w:lang w:eastAsia="en-US"/>
        </w:rPr>
        <w:t>Despite the decline in purchasing power in general, its impact varies on different income groups, as the impact is more severe on marginalized and poorer groups, especially since prices increases mainly affected basic commodities in the Palestinian markets.</w:t>
      </w:r>
    </w:p>
    <w:p w:rsidR="00FE2D4D" w:rsidRDefault="00FE2D4D" w:rsidP="000C7C6C">
      <w:pPr>
        <w:bidi w:val="0"/>
        <w:jc w:val="both"/>
        <w:rPr>
          <w:b/>
          <w:bCs/>
          <w:color w:val="000000"/>
          <w:sz w:val="26"/>
          <w:szCs w:val="26"/>
          <w:lang w:eastAsia="en-US"/>
        </w:rPr>
      </w:pPr>
    </w:p>
    <w:p w:rsidR="00067B98" w:rsidRPr="006E046A" w:rsidRDefault="00067B98" w:rsidP="00463CF6">
      <w:pPr>
        <w:bidi w:val="0"/>
        <w:jc w:val="lowKashida"/>
        <w:rPr>
          <w:sz w:val="28"/>
          <w:szCs w:val="28"/>
        </w:rPr>
      </w:pPr>
      <w:r w:rsidRPr="006E046A">
        <w:rPr>
          <w:b/>
          <w:bCs/>
          <w:color w:val="000000"/>
          <w:sz w:val="28"/>
          <w:szCs w:val="28"/>
        </w:rPr>
        <w:t>Consumer Price Index (CPI) in Palestine during 2024</w:t>
      </w:r>
    </w:p>
    <w:p w:rsidR="00067B98" w:rsidRPr="00681E97" w:rsidRDefault="00067B98" w:rsidP="00067B98">
      <w:pPr>
        <w:autoSpaceDE w:val="0"/>
        <w:autoSpaceDN w:val="0"/>
        <w:bidi w:val="0"/>
        <w:adjustRightInd w:val="0"/>
        <w:jc w:val="center"/>
        <w:rPr>
          <w:rFonts w:cs="Simplified Arabic"/>
          <w:b/>
          <w:bCs/>
          <w:snapToGrid w:val="0"/>
          <w:color w:val="000000"/>
          <w:sz w:val="26"/>
          <w:szCs w:val="26"/>
        </w:rPr>
      </w:pPr>
      <w:r w:rsidRPr="00681E97">
        <w:rPr>
          <w:rFonts w:cs="Simplified Arabic"/>
          <w:b/>
          <w:bCs/>
          <w:snapToGrid w:val="0"/>
          <w:color w:val="000000"/>
          <w:sz w:val="26"/>
          <w:szCs w:val="26"/>
        </w:rPr>
        <w:t>Monthly percent changes in Consumer price index in Palestine for the months of 2024</w:t>
      </w:r>
    </w:p>
    <w:p w:rsidR="00067B98" w:rsidRPr="00C91663" w:rsidRDefault="00067B98" w:rsidP="00067B98">
      <w:pPr>
        <w:autoSpaceDE w:val="0"/>
        <w:autoSpaceDN w:val="0"/>
        <w:bidi w:val="0"/>
        <w:adjustRightInd w:val="0"/>
        <w:jc w:val="center"/>
        <w:rPr>
          <w:rFonts w:cs="Simplified Arabic"/>
          <w:b/>
          <w:bCs/>
          <w:snapToGrid w:val="0"/>
          <w:color w:val="000000"/>
          <w:sz w:val="12"/>
          <w:szCs w:val="12"/>
        </w:rPr>
      </w:pPr>
    </w:p>
    <w:p w:rsidR="00067B98" w:rsidRPr="009A7E1A" w:rsidRDefault="00067B98" w:rsidP="00067B98">
      <w:pPr>
        <w:autoSpaceDE w:val="0"/>
        <w:autoSpaceDN w:val="0"/>
        <w:bidi w:val="0"/>
        <w:adjustRightInd w:val="0"/>
        <w:jc w:val="center"/>
        <w:rPr>
          <w:rFonts w:cs="Simplified Arabic"/>
          <w:b/>
          <w:bCs/>
          <w:snapToGrid w:val="0"/>
          <w:color w:val="000000"/>
          <w:sz w:val="8"/>
          <w:szCs w:val="8"/>
        </w:rPr>
      </w:pPr>
    </w:p>
    <w:p w:rsidR="00067B98" w:rsidRPr="006D77E3" w:rsidRDefault="0066491B" w:rsidP="00067B98">
      <w:pPr>
        <w:autoSpaceDE w:val="0"/>
        <w:autoSpaceDN w:val="0"/>
        <w:bidi w:val="0"/>
        <w:adjustRightInd w:val="0"/>
        <w:jc w:val="center"/>
        <w:rPr>
          <w:rFonts w:cs="Simplified Arabic"/>
          <w:b/>
          <w:bCs/>
          <w:snapToGrid w:val="0"/>
          <w:color w:val="000000"/>
          <w:sz w:val="20"/>
          <w:szCs w:val="20"/>
        </w:rPr>
      </w:pPr>
      <w:r w:rsidRPr="002A1536">
        <w:rPr>
          <w:rFonts w:ascii="Arial" w:hAnsi="Arial" w:cs="Arial"/>
          <w:b/>
          <w:bCs/>
          <w:noProof/>
          <w:snapToGrid w:val="0"/>
          <w:color w:val="000000"/>
          <w:sz w:val="20"/>
          <w:szCs w:val="20"/>
          <w:lang w:val="en-GB" w:eastAsia="en-GB"/>
        </w:rPr>
        <w:drawing>
          <wp:inline distT="0" distB="0" distL="0" distR="0">
            <wp:extent cx="2886075" cy="21145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2326" w:rsidRDefault="00712326" w:rsidP="00FF50E4">
      <w:pPr>
        <w:bidi w:val="0"/>
        <w:spacing w:line="360" w:lineRule="auto"/>
        <w:jc w:val="lowKashida"/>
      </w:pPr>
    </w:p>
    <w:p w:rsidR="00CE0D6C" w:rsidRPr="00EB27A9" w:rsidRDefault="00517FF6" w:rsidP="00712326">
      <w:pPr>
        <w:bidi w:val="0"/>
        <w:spacing w:line="360" w:lineRule="auto"/>
        <w:jc w:val="lowKashida"/>
        <w:rPr>
          <w:color w:val="000000"/>
        </w:rPr>
      </w:pPr>
      <w:r w:rsidRPr="003B0FAF">
        <w:t>The changes in Palestinian CPI</w:t>
      </w:r>
      <w:r>
        <w:t xml:space="preserve"> for </w:t>
      </w:r>
      <w:r w:rsidR="00FF50E4">
        <w:t>2024</w:t>
      </w:r>
      <w:r w:rsidRPr="003B0FAF">
        <w:rPr>
          <w:sz w:val="28"/>
          <w:szCs w:val="28"/>
        </w:rPr>
        <w:t xml:space="preserve"> </w:t>
      </w:r>
      <w:r w:rsidRPr="003B0FAF">
        <w:t>were</w:t>
      </w:r>
      <w:r w:rsidR="008E790B">
        <w:t xml:space="preserve"> </w:t>
      </w:r>
      <w:r w:rsidRPr="003B0FAF">
        <w:t xml:space="preserve">traced back to changes in prices of the following expenditure </w:t>
      </w:r>
      <w:r w:rsidRPr="00EB27A9">
        <w:rPr>
          <w:color w:val="000000"/>
        </w:rPr>
        <w:t xml:space="preserve">major </w:t>
      </w:r>
      <w:r>
        <w:t xml:space="preserve">and </w:t>
      </w:r>
      <w:r w:rsidRPr="003B0FAF">
        <w:t xml:space="preserve">sub groups compared with previous </w:t>
      </w:r>
      <w:r>
        <w:t>year:</w:t>
      </w:r>
    </w:p>
    <w:p w:rsidR="00CE0D6C" w:rsidRPr="008957B6" w:rsidRDefault="00CE0D6C" w:rsidP="00CE0D6C">
      <w:pPr>
        <w:jc w:val="both"/>
        <w:rPr>
          <w:sz w:val="10"/>
          <w:szCs w:val="10"/>
        </w:rPr>
      </w:pPr>
    </w:p>
    <w:tbl>
      <w:tblPr>
        <w:tblW w:w="5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75"/>
      </w:tblGrid>
      <w:tr w:rsidR="00CE0D6C" w:rsidRPr="008957B6" w:rsidTr="006E046A">
        <w:trPr>
          <w:trHeight w:hRule="exact" w:val="651"/>
          <w:tblHeader/>
        </w:trPr>
        <w:tc>
          <w:tcPr>
            <w:tcW w:w="3970" w:type="dxa"/>
            <w:vAlign w:val="center"/>
          </w:tcPr>
          <w:p w:rsidR="00CE0D6C" w:rsidRPr="008957B6" w:rsidRDefault="00CE0D6C" w:rsidP="009E484A">
            <w:pPr>
              <w:pStyle w:val="BodyText3"/>
              <w:bidi w:val="0"/>
              <w:spacing w:after="0"/>
              <w:rPr>
                <w:b/>
                <w:bCs/>
                <w:sz w:val="24"/>
                <w:szCs w:val="24"/>
              </w:rPr>
            </w:pPr>
            <w:r w:rsidRPr="008957B6">
              <w:rPr>
                <w:b/>
                <w:bCs/>
                <w:color w:val="000000"/>
                <w:sz w:val="24"/>
                <w:szCs w:val="24"/>
              </w:rPr>
              <w:t>Major and Sub Groups</w:t>
            </w:r>
          </w:p>
        </w:tc>
        <w:tc>
          <w:tcPr>
            <w:tcW w:w="1275" w:type="dxa"/>
            <w:vAlign w:val="center"/>
          </w:tcPr>
          <w:p w:rsidR="00CE0D6C" w:rsidRPr="008957B6" w:rsidRDefault="00CE0D6C" w:rsidP="009E484A">
            <w:pPr>
              <w:pStyle w:val="BodyText3"/>
              <w:bidi w:val="0"/>
              <w:spacing w:after="0"/>
              <w:rPr>
                <w:b/>
                <w:bCs/>
                <w:sz w:val="24"/>
                <w:szCs w:val="24"/>
              </w:rPr>
            </w:pPr>
            <w:r w:rsidRPr="008957B6">
              <w:rPr>
                <w:b/>
                <w:bCs/>
                <w:sz w:val="24"/>
                <w:szCs w:val="24"/>
              </w:rPr>
              <w:t>%Change</w:t>
            </w:r>
          </w:p>
        </w:tc>
      </w:tr>
      <w:tr w:rsidR="00EC7CFA" w:rsidRPr="00467377" w:rsidTr="006E046A">
        <w:trPr>
          <w:trHeight w:hRule="exact" w:val="454"/>
        </w:trPr>
        <w:tc>
          <w:tcPr>
            <w:tcW w:w="3970" w:type="dxa"/>
            <w:vAlign w:val="center"/>
          </w:tcPr>
          <w:p w:rsidR="00EC7CFA" w:rsidRPr="0002119F" w:rsidRDefault="00EC7CFA" w:rsidP="00EC7CFA">
            <w:pPr>
              <w:bidi w:val="0"/>
              <w:rPr>
                <w:b/>
                <w:bCs/>
              </w:rPr>
            </w:pPr>
            <w:r w:rsidRPr="0002119F">
              <w:rPr>
                <w:b/>
                <w:bCs/>
              </w:rPr>
              <w:t>Food and Non-Alcoholic Beverages</w:t>
            </w:r>
          </w:p>
        </w:tc>
        <w:tc>
          <w:tcPr>
            <w:tcW w:w="1275" w:type="dxa"/>
            <w:vAlign w:val="center"/>
          </w:tcPr>
          <w:p w:rsidR="00EC7CFA" w:rsidRPr="0002119F" w:rsidRDefault="00EC7CFA" w:rsidP="0042770A">
            <w:pPr>
              <w:tabs>
                <w:tab w:val="right" w:pos="338"/>
              </w:tabs>
              <w:rPr>
                <w:rFonts w:hint="cs"/>
                <w:b/>
                <w:bCs/>
                <w:rtl/>
              </w:rPr>
            </w:pPr>
            <w:r w:rsidRPr="0002119F">
              <w:rPr>
                <w:b/>
                <w:bCs/>
              </w:rPr>
              <w:t xml:space="preserve">+ </w:t>
            </w:r>
            <w:r w:rsidR="0042770A">
              <w:rPr>
                <w:b/>
                <w:bCs/>
              </w:rPr>
              <w:t>59.05</w:t>
            </w:r>
            <w:r w:rsidRPr="0002119F">
              <w:rPr>
                <w:b/>
                <w:bCs/>
              </w:rPr>
              <w:t>%</w:t>
            </w:r>
          </w:p>
        </w:tc>
      </w:tr>
      <w:tr w:rsidR="0042770A" w:rsidRPr="00467377" w:rsidTr="006E046A">
        <w:trPr>
          <w:trHeight w:hRule="exact" w:val="454"/>
        </w:trPr>
        <w:tc>
          <w:tcPr>
            <w:tcW w:w="3970" w:type="dxa"/>
            <w:vAlign w:val="center"/>
          </w:tcPr>
          <w:p w:rsidR="0042770A" w:rsidRPr="0002119F" w:rsidRDefault="00764D5B" w:rsidP="0042770A">
            <w:pPr>
              <w:jc w:val="right"/>
              <w:rPr>
                <w:rFonts w:hint="cs"/>
              </w:rPr>
            </w:pPr>
            <w:r w:rsidRPr="00467377">
              <w:t>Dried Vegetables</w:t>
            </w:r>
          </w:p>
        </w:tc>
        <w:tc>
          <w:tcPr>
            <w:tcW w:w="1275" w:type="dxa"/>
            <w:vAlign w:val="center"/>
          </w:tcPr>
          <w:p w:rsidR="0042770A" w:rsidRDefault="0042770A" w:rsidP="0042770A">
            <w:pPr>
              <w:tabs>
                <w:tab w:val="right" w:pos="338"/>
              </w:tabs>
            </w:pPr>
            <w:r>
              <w:t>+ 369.24%</w:t>
            </w:r>
          </w:p>
        </w:tc>
      </w:tr>
      <w:tr w:rsidR="0042770A" w:rsidRPr="00467377" w:rsidTr="006E046A">
        <w:trPr>
          <w:trHeight w:hRule="exact" w:val="454"/>
        </w:trPr>
        <w:tc>
          <w:tcPr>
            <w:tcW w:w="3970" w:type="dxa"/>
            <w:vAlign w:val="center"/>
          </w:tcPr>
          <w:p w:rsidR="0042770A" w:rsidRPr="00467377" w:rsidRDefault="0042770A" w:rsidP="0042770A">
            <w:pPr>
              <w:jc w:val="right"/>
              <w:rPr>
                <w:rFonts w:hint="cs"/>
              </w:rPr>
            </w:pPr>
            <w:r w:rsidRPr="0002119F">
              <w:t xml:space="preserve">Potatoes and </w:t>
            </w:r>
            <w:r>
              <w:t>O</w:t>
            </w:r>
            <w:r w:rsidRPr="0002119F">
              <w:t xml:space="preserve">ther </w:t>
            </w:r>
            <w:r>
              <w:t>T</w:t>
            </w:r>
            <w:r w:rsidRPr="0002119F">
              <w:t>ubers</w:t>
            </w:r>
          </w:p>
        </w:tc>
        <w:tc>
          <w:tcPr>
            <w:tcW w:w="1275" w:type="dxa"/>
            <w:vAlign w:val="center"/>
          </w:tcPr>
          <w:p w:rsidR="0042770A" w:rsidRPr="00467377" w:rsidRDefault="0042770A" w:rsidP="0042770A">
            <w:pPr>
              <w:tabs>
                <w:tab w:val="right" w:pos="338"/>
              </w:tabs>
              <w:rPr>
                <w:rFonts w:hint="cs"/>
                <w:rtl/>
              </w:rPr>
            </w:pPr>
            <w:r>
              <w:t>+ 224.61%</w:t>
            </w:r>
          </w:p>
        </w:tc>
      </w:tr>
      <w:tr w:rsidR="0042770A" w:rsidRPr="00467377" w:rsidTr="006E046A">
        <w:trPr>
          <w:trHeight w:hRule="exact" w:val="454"/>
        </w:trPr>
        <w:tc>
          <w:tcPr>
            <w:tcW w:w="3970" w:type="dxa"/>
            <w:vAlign w:val="center"/>
          </w:tcPr>
          <w:p w:rsidR="0042770A" w:rsidRPr="00EF40CD" w:rsidRDefault="0042770A" w:rsidP="0042770A">
            <w:pPr>
              <w:bidi w:val="0"/>
            </w:pPr>
            <w:r w:rsidRPr="00EF40CD">
              <w:t xml:space="preserve">Other </w:t>
            </w:r>
            <w:r>
              <w:t>S</w:t>
            </w:r>
            <w:r w:rsidRPr="00EF40CD">
              <w:t xml:space="preserve">ugar and </w:t>
            </w:r>
            <w:r>
              <w:t>S</w:t>
            </w:r>
            <w:r w:rsidRPr="00EF40CD">
              <w:t xml:space="preserve">ugar </w:t>
            </w:r>
            <w:r>
              <w:t>S</w:t>
            </w:r>
            <w:r w:rsidRPr="00EF40CD">
              <w:t>ubstitutes</w:t>
            </w:r>
          </w:p>
        </w:tc>
        <w:tc>
          <w:tcPr>
            <w:tcW w:w="1275" w:type="dxa"/>
            <w:vAlign w:val="center"/>
          </w:tcPr>
          <w:p w:rsidR="0042770A" w:rsidRPr="0032303E" w:rsidRDefault="0042770A" w:rsidP="00764D5B">
            <w:pPr>
              <w:tabs>
                <w:tab w:val="right" w:pos="338"/>
              </w:tabs>
              <w:bidi w:val="0"/>
              <w:jc w:val="right"/>
              <w:rPr>
                <w:b/>
                <w:bCs/>
              </w:rPr>
            </w:pPr>
            <w:r>
              <w:t>+</w:t>
            </w:r>
            <w:r w:rsidRPr="00467377">
              <w:t xml:space="preserve"> </w:t>
            </w:r>
            <w:r w:rsidR="00764D5B">
              <w:t>219.39</w:t>
            </w:r>
            <w:r w:rsidRPr="00467377">
              <w:t>%</w:t>
            </w:r>
          </w:p>
        </w:tc>
      </w:tr>
      <w:tr w:rsidR="00764D5B" w:rsidRPr="00467377" w:rsidTr="006E046A">
        <w:trPr>
          <w:trHeight w:hRule="exact" w:val="454"/>
        </w:trPr>
        <w:tc>
          <w:tcPr>
            <w:tcW w:w="3970" w:type="dxa"/>
            <w:vAlign w:val="center"/>
          </w:tcPr>
          <w:p w:rsidR="00764D5B" w:rsidRPr="00467377" w:rsidRDefault="00764D5B" w:rsidP="00764D5B">
            <w:pPr>
              <w:jc w:val="right"/>
              <w:rPr>
                <w:rFonts w:hint="cs"/>
                <w:rtl/>
              </w:rPr>
            </w:pPr>
            <w:r w:rsidRPr="00467377">
              <w:t>Eggs</w:t>
            </w:r>
          </w:p>
        </w:tc>
        <w:tc>
          <w:tcPr>
            <w:tcW w:w="1275" w:type="dxa"/>
            <w:vAlign w:val="center"/>
          </w:tcPr>
          <w:p w:rsidR="00764D5B" w:rsidRPr="00467377" w:rsidRDefault="00764D5B" w:rsidP="00764D5B">
            <w:pPr>
              <w:tabs>
                <w:tab w:val="right" w:pos="338"/>
              </w:tabs>
              <w:rPr>
                <w:rFonts w:hint="cs"/>
                <w:rtl/>
              </w:rPr>
            </w:pPr>
            <w:r>
              <w:t>+</w:t>
            </w:r>
            <w:r w:rsidRPr="00467377">
              <w:t xml:space="preserve"> </w:t>
            </w:r>
            <w:r>
              <w:t>157.59</w:t>
            </w:r>
            <w:r w:rsidRPr="00467377">
              <w:t>%</w:t>
            </w:r>
          </w:p>
        </w:tc>
      </w:tr>
      <w:tr w:rsidR="00764D5B" w:rsidRPr="00467377" w:rsidTr="006E046A">
        <w:trPr>
          <w:trHeight w:hRule="exact" w:val="454"/>
        </w:trPr>
        <w:tc>
          <w:tcPr>
            <w:tcW w:w="3970" w:type="dxa"/>
            <w:vAlign w:val="center"/>
          </w:tcPr>
          <w:p w:rsidR="00764D5B" w:rsidRPr="0002119F" w:rsidRDefault="00764D5B" w:rsidP="00764D5B">
            <w:pPr>
              <w:jc w:val="right"/>
              <w:rPr>
                <w:rFonts w:hint="cs"/>
              </w:rPr>
            </w:pPr>
            <w:r w:rsidRPr="0042770A">
              <w:t xml:space="preserve">Fresh </w:t>
            </w:r>
            <w:r>
              <w:t>V</w:t>
            </w:r>
            <w:r w:rsidRPr="0042770A">
              <w:t>egetables</w:t>
            </w:r>
          </w:p>
        </w:tc>
        <w:tc>
          <w:tcPr>
            <w:tcW w:w="1275" w:type="dxa"/>
            <w:vAlign w:val="center"/>
          </w:tcPr>
          <w:p w:rsidR="00764D5B" w:rsidRDefault="00764D5B" w:rsidP="00764D5B">
            <w:pPr>
              <w:tabs>
                <w:tab w:val="right" w:pos="338"/>
              </w:tabs>
            </w:pPr>
            <w:r>
              <w:t>+ 109.60%</w:t>
            </w:r>
          </w:p>
        </w:tc>
      </w:tr>
      <w:tr w:rsidR="00764D5B" w:rsidRPr="00467377" w:rsidTr="006E046A">
        <w:trPr>
          <w:trHeight w:hRule="exact" w:val="454"/>
        </w:trPr>
        <w:tc>
          <w:tcPr>
            <w:tcW w:w="3970" w:type="dxa"/>
            <w:vAlign w:val="center"/>
          </w:tcPr>
          <w:p w:rsidR="00764D5B" w:rsidRPr="0002119F" w:rsidRDefault="00764D5B" w:rsidP="00764D5B">
            <w:pPr>
              <w:jc w:val="right"/>
              <w:rPr>
                <w:rFonts w:hint="cs"/>
              </w:rPr>
            </w:pPr>
            <w:r w:rsidRPr="00764D5B">
              <w:t xml:space="preserve">White </w:t>
            </w:r>
            <w:r>
              <w:t>F</w:t>
            </w:r>
            <w:r w:rsidRPr="00764D5B">
              <w:t>lour</w:t>
            </w:r>
          </w:p>
        </w:tc>
        <w:tc>
          <w:tcPr>
            <w:tcW w:w="1275" w:type="dxa"/>
            <w:vAlign w:val="center"/>
          </w:tcPr>
          <w:p w:rsidR="00764D5B" w:rsidRDefault="00712326" w:rsidP="00712326">
            <w:pPr>
              <w:tabs>
                <w:tab w:val="right" w:pos="338"/>
              </w:tabs>
              <w:rPr>
                <w:rFonts w:hint="cs"/>
                <w:rtl/>
              </w:rPr>
            </w:pPr>
            <w:r>
              <w:t>+ 103.44%</w:t>
            </w:r>
          </w:p>
        </w:tc>
      </w:tr>
      <w:tr w:rsidR="00764D5B" w:rsidRPr="00467377" w:rsidTr="006E046A">
        <w:trPr>
          <w:trHeight w:hRule="exact" w:val="454"/>
        </w:trPr>
        <w:tc>
          <w:tcPr>
            <w:tcW w:w="3970" w:type="dxa"/>
            <w:vAlign w:val="center"/>
          </w:tcPr>
          <w:p w:rsidR="00764D5B" w:rsidRPr="008F3CD0" w:rsidRDefault="00764D5B" w:rsidP="00764D5B">
            <w:pPr>
              <w:bidi w:val="0"/>
            </w:pPr>
            <w:r w:rsidRPr="008F3CD0">
              <w:t xml:space="preserve">Fresh </w:t>
            </w:r>
            <w:r>
              <w:t>F</w:t>
            </w:r>
            <w:r w:rsidRPr="008F3CD0">
              <w:t>ruit</w:t>
            </w:r>
          </w:p>
        </w:tc>
        <w:tc>
          <w:tcPr>
            <w:tcW w:w="1275" w:type="dxa"/>
            <w:vAlign w:val="center"/>
          </w:tcPr>
          <w:p w:rsidR="00764D5B" w:rsidRPr="0032303E" w:rsidRDefault="00764D5B" w:rsidP="00764D5B">
            <w:pPr>
              <w:tabs>
                <w:tab w:val="right" w:pos="338"/>
              </w:tabs>
              <w:bidi w:val="0"/>
              <w:jc w:val="right"/>
              <w:rPr>
                <w:b/>
                <w:bCs/>
              </w:rPr>
            </w:pPr>
            <w:r>
              <w:t>+</w:t>
            </w:r>
            <w:r w:rsidRPr="00467377">
              <w:t xml:space="preserve"> </w:t>
            </w:r>
            <w:r>
              <w:rPr>
                <w:rFonts w:hint="cs"/>
                <w:rtl/>
              </w:rPr>
              <w:t>100.52</w:t>
            </w:r>
            <w:r w:rsidRPr="00467377">
              <w:t>%</w:t>
            </w:r>
          </w:p>
        </w:tc>
      </w:tr>
      <w:tr w:rsidR="00764D5B" w:rsidRPr="00467377" w:rsidTr="006E046A">
        <w:trPr>
          <w:trHeight w:hRule="exact" w:val="454"/>
        </w:trPr>
        <w:tc>
          <w:tcPr>
            <w:tcW w:w="3970" w:type="dxa"/>
            <w:vAlign w:val="center"/>
          </w:tcPr>
          <w:p w:rsidR="00764D5B" w:rsidRPr="00467377" w:rsidRDefault="00764D5B" w:rsidP="00764D5B">
            <w:pPr>
              <w:bidi w:val="0"/>
            </w:pPr>
            <w:r w:rsidRPr="00467377">
              <w:t>Fresh Chicken</w:t>
            </w:r>
          </w:p>
        </w:tc>
        <w:tc>
          <w:tcPr>
            <w:tcW w:w="1275" w:type="dxa"/>
            <w:vAlign w:val="center"/>
          </w:tcPr>
          <w:p w:rsidR="00764D5B" w:rsidRPr="00467377" w:rsidRDefault="00764D5B" w:rsidP="00764D5B">
            <w:pPr>
              <w:tabs>
                <w:tab w:val="right" w:pos="338"/>
              </w:tabs>
            </w:pPr>
            <w:r>
              <w:t>+</w:t>
            </w:r>
            <w:r w:rsidRPr="00467377">
              <w:t xml:space="preserve"> </w:t>
            </w:r>
            <w:r>
              <w:t>65.67</w:t>
            </w:r>
            <w:r w:rsidRPr="00467377">
              <w:t>%</w:t>
            </w:r>
          </w:p>
        </w:tc>
      </w:tr>
      <w:tr w:rsidR="00764D5B" w:rsidRPr="00467377" w:rsidTr="006E046A">
        <w:trPr>
          <w:trHeight w:hRule="exact" w:val="454"/>
        </w:trPr>
        <w:tc>
          <w:tcPr>
            <w:tcW w:w="3970" w:type="dxa"/>
            <w:vAlign w:val="center"/>
          </w:tcPr>
          <w:p w:rsidR="00764D5B" w:rsidRPr="00467377" w:rsidRDefault="00501457" w:rsidP="00501457">
            <w:pPr>
              <w:jc w:val="right"/>
            </w:pPr>
            <w:r w:rsidRPr="00501457">
              <w:t xml:space="preserve">Dried </w:t>
            </w:r>
            <w:r>
              <w:t>P</w:t>
            </w:r>
            <w:r w:rsidRPr="00501457">
              <w:t>luses</w:t>
            </w:r>
          </w:p>
        </w:tc>
        <w:tc>
          <w:tcPr>
            <w:tcW w:w="1275" w:type="dxa"/>
            <w:vAlign w:val="center"/>
          </w:tcPr>
          <w:p w:rsidR="00764D5B" w:rsidRPr="00467377" w:rsidRDefault="00501457" w:rsidP="00501457">
            <w:pPr>
              <w:tabs>
                <w:tab w:val="right" w:pos="338"/>
              </w:tabs>
              <w:rPr>
                <w:rFonts w:hint="cs"/>
              </w:rPr>
            </w:pPr>
            <w:r>
              <w:t>+</w:t>
            </w:r>
            <w:r w:rsidRPr="00467377">
              <w:t xml:space="preserve"> </w:t>
            </w:r>
            <w:r>
              <w:t>56.81</w:t>
            </w:r>
            <w:r w:rsidRPr="00467377">
              <w:t>%</w:t>
            </w:r>
          </w:p>
        </w:tc>
      </w:tr>
      <w:tr w:rsidR="00501457" w:rsidRPr="00467377" w:rsidTr="006E046A">
        <w:trPr>
          <w:trHeight w:hRule="exact" w:val="454"/>
        </w:trPr>
        <w:tc>
          <w:tcPr>
            <w:tcW w:w="3970" w:type="dxa"/>
            <w:vAlign w:val="center"/>
          </w:tcPr>
          <w:p w:rsidR="00501457" w:rsidRPr="00EC7CFA" w:rsidRDefault="00501457" w:rsidP="00501457">
            <w:pPr>
              <w:bidi w:val="0"/>
            </w:pPr>
            <w:r w:rsidRPr="00467377">
              <w:t>Vegetable</w:t>
            </w:r>
            <w:r>
              <w:t xml:space="preserve"> O</w:t>
            </w:r>
            <w:r w:rsidRPr="00EC7CFA">
              <w:t>il</w:t>
            </w:r>
          </w:p>
        </w:tc>
        <w:tc>
          <w:tcPr>
            <w:tcW w:w="1275" w:type="dxa"/>
            <w:vAlign w:val="center"/>
          </w:tcPr>
          <w:p w:rsidR="00501457" w:rsidRDefault="00501457" w:rsidP="00501457">
            <w:pPr>
              <w:tabs>
                <w:tab w:val="right" w:pos="338"/>
              </w:tabs>
              <w:bidi w:val="0"/>
              <w:jc w:val="right"/>
            </w:pPr>
            <w:r>
              <w:t>+</w:t>
            </w:r>
            <w:r w:rsidRPr="00467377">
              <w:t xml:space="preserve"> </w:t>
            </w:r>
            <w:r>
              <w:t>45.20</w:t>
            </w:r>
            <w:r w:rsidRPr="00467377">
              <w:t>%</w:t>
            </w:r>
          </w:p>
        </w:tc>
      </w:tr>
      <w:tr w:rsidR="00501457" w:rsidRPr="00467377" w:rsidTr="006E046A">
        <w:trPr>
          <w:trHeight w:hRule="exact" w:val="454"/>
        </w:trPr>
        <w:tc>
          <w:tcPr>
            <w:tcW w:w="3970" w:type="dxa"/>
            <w:vAlign w:val="center"/>
          </w:tcPr>
          <w:p w:rsidR="00501457" w:rsidRPr="00467377" w:rsidRDefault="00501457" w:rsidP="00501457">
            <w:pPr>
              <w:jc w:val="right"/>
              <w:rPr>
                <w:rFonts w:hint="cs"/>
              </w:rPr>
            </w:pPr>
            <w:r w:rsidRPr="0002119F">
              <w:t xml:space="preserve">Fresh </w:t>
            </w:r>
            <w:r>
              <w:t>M</w:t>
            </w:r>
            <w:r w:rsidRPr="0002119F">
              <w:t>eat</w:t>
            </w:r>
          </w:p>
        </w:tc>
        <w:tc>
          <w:tcPr>
            <w:tcW w:w="1275" w:type="dxa"/>
            <w:vAlign w:val="center"/>
          </w:tcPr>
          <w:p w:rsidR="00501457" w:rsidRPr="00467377" w:rsidRDefault="00501457" w:rsidP="00501457">
            <w:pPr>
              <w:tabs>
                <w:tab w:val="right" w:pos="338"/>
              </w:tabs>
            </w:pPr>
            <w:r>
              <w:t>+ 43.64%</w:t>
            </w:r>
          </w:p>
        </w:tc>
      </w:tr>
      <w:tr w:rsidR="00501457" w:rsidRPr="00467377" w:rsidTr="006E046A">
        <w:trPr>
          <w:trHeight w:hRule="exact" w:val="454"/>
        </w:trPr>
        <w:tc>
          <w:tcPr>
            <w:tcW w:w="3970" w:type="dxa"/>
            <w:vAlign w:val="center"/>
          </w:tcPr>
          <w:p w:rsidR="00501457" w:rsidRPr="0032303E" w:rsidRDefault="00501457" w:rsidP="00501457">
            <w:pPr>
              <w:bidi w:val="0"/>
              <w:rPr>
                <w:b/>
                <w:bCs/>
              </w:rPr>
            </w:pPr>
            <w:r w:rsidRPr="0032303E">
              <w:rPr>
                <w:b/>
                <w:bCs/>
              </w:rPr>
              <w:t>Transport</w:t>
            </w:r>
          </w:p>
        </w:tc>
        <w:tc>
          <w:tcPr>
            <w:tcW w:w="1275" w:type="dxa"/>
            <w:vAlign w:val="center"/>
          </w:tcPr>
          <w:p w:rsidR="00501457" w:rsidRPr="0032303E" w:rsidRDefault="00501457" w:rsidP="00501457">
            <w:pPr>
              <w:tabs>
                <w:tab w:val="right" w:pos="338"/>
              </w:tabs>
              <w:bidi w:val="0"/>
              <w:jc w:val="right"/>
              <w:rPr>
                <w:b/>
                <w:bCs/>
              </w:rPr>
            </w:pPr>
            <w:r w:rsidRPr="0032303E">
              <w:rPr>
                <w:b/>
                <w:bCs/>
              </w:rPr>
              <w:t xml:space="preserve">+ </w:t>
            </w:r>
            <w:r>
              <w:rPr>
                <w:b/>
                <w:bCs/>
              </w:rPr>
              <w:t>32.20%</w:t>
            </w:r>
          </w:p>
        </w:tc>
      </w:tr>
      <w:tr w:rsidR="00501457" w:rsidRPr="00467377" w:rsidTr="006E046A">
        <w:trPr>
          <w:trHeight w:hRule="exact" w:val="454"/>
        </w:trPr>
        <w:tc>
          <w:tcPr>
            <w:tcW w:w="3970" w:type="dxa"/>
            <w:vAlign w:val="center"/>
          </w:tcPr>
          <w:p w:rsidR="00501457" w:rsidRPr="00467377" w:rsidRDefault="00501457" w:rsidP="00712326">
            <w:pPr>
              <w:bidi w:val="0"/>
            </w:pPr>
            <w:r w:rsidRPr="00467377">
              <w:t>Liquid Fuel for Car "</w:t>
            </w:r>
            <w:r w:rsidR="00712326" w:rsidRPr="00467377">
              <w:t>Petrol</w:t>
            </w:r>
            <w:r w:rsidRPr="00467377">
              <w:t>"</w:t>
            </w:r>
          </w:p>
        </w:tc>
        <w:tc>
          <w:tcPr>
            <w:tcW w:w="1275" w:type="dxa"/>
            <w:vAlign w:val="center"/>
          </w:tcPr>
          <w:p w:rsidR="00501457" w:rsidRPr="00467377" w:rsidRDefault="00501457" w:rsidP="00501457">
            <w:pPr>
              <w:tabs>
                <w:tab w:val="right" w:pos="338"/>
              </w:tabs>
              <w:bidi w:val="0"/>
              <w:jc w:val="right"/>
            </w:pPr>
            <w:r>
              <w:t>+</w:t>
            </w:r>
            <w:r w:rsidRPr="00467377">
              <w:t xml:space="preserve"> </w:t>
            </w:r>
            <w:r>
              <w:t>104.75</w:t>
            </w:r>
            <w:r w:rsidRPr="00467377">
              <w:t>%</w:t>
            </w:r>
          </w:p>
        </w:tc>
      </w:tr>
      <w:tr w:rsidR="00501457" w:rsidRPr="00467377" w:rsidTr="006E046A">
        <w:trPr>
          <w:trHeight w:hRule="exact" w:val="454"/>
        </w:trPr>
        <w:tc>
          <w:tcPr>
            <w:tcW w:w="3970" w:type="dxa"/>
            <w:vAlign w:val="center"/>
          </w:tcPr>
          <w:p w:rsidR="00501457" w:rsidRPr="00467377" w:rsidRDefault="00501457" w:rsidP="00501457">
            <w:pPr>
              <w:bidi w:val="0"/>
            </w:pPr>
            <w:r w:rsidRPr="00467377">
              <w:t>Liquid Fuel for Car "</w:t>
            </w:r>
            <w:r w:rsidR="00712326" w:rsidRPr="00467377">
              <w:t>Diesel</w:t>
            </w:r>
            <w:r w:rsidRPr="00467377">
              <w:t>"</w:t>
            </w:r>
          </w:p>
        </w:tc>
        <w:tc>
          <w:tcPr>
            <w:tcW w:w="1275" w:type="dxa"/>
            <w:vAlign w:val="center"/>
          </w:tcPr>
          <w:p w:rsidR="00501457" w:rsidRPr="00467377" w:rsidRDefault="00501457" w:rsidP="00501457">
            <w:pPr>
              <w:tabs>
                <w:tab w:val="right" w:pos="338"/>
              </w:tabs>
              <w:bidi w:val="0"/>
              <w:jc w:val="right"/>
            </w:pPr>
            <w:r>
              <w:t>+</w:t>
            </w:r>
            <w:r w:rsidRPr="00467377">
              <w:t xml:space="preserve"> </w:t>
            </w:r>
            <w:r>
              <w:t>10.58</w:t>
            </w:r>
            <w:r w:rsidRPr="00467377">
              <w:t>%</w:t>
            </w:r>
          </w:p>
        </w:tc>
      </w:tr>
      <w:tr w:rsidR="00501457" w:rsidRPr="00467377" w:rsidTr="006E046A">
        <w:trPr>
          <w:trHeight w:hRule="exact" w:val="637"/>
        </w:trPr>
        <w:tc>
          <w:tcPr>
            <w:tcW w:w="3970" w:type="dxa"/>
            <w:vAlign w:val="center"/>
          </w:tcPr>
          <w:p w:rsidR="00501457" w:rsidRPr="00614528" w:rsidRDefault="00501457" w:rsidP="00501457">
            <w:pPr>
              <w:bidi w:val="0"/>
              <w:rPr>
                <w:b/>
                <w:bCs/>
              </w:rPr>
            </w:pPr>
            <w:r w:rsidRPr="00614528">
              <w:rPr>
                <w:b/>
                <w:bCs/>
              </w:rPr>
              <w:t>Housing, Water, Electricity, Gas and Other Fuels</w:t>
            </w:r>
          </w:p>
        </w:tc>
        <w:tc>
          <w:tcPr>
            <w:tcW w:w="1275" w:type="dxa"/>
            <w:vAlign w:val="center"/>
          </w:tcPr>
          <w:p w:rsidR="00501457" w:rsidRPr="00614528" w:rsidRDefault="00501457" w:rsidP="00501457">
            <w:pPr>
              <w:tabs>
                <w:tab w:val="right" w:pos="338"/>
              </w:tabs>
              <w:rPr>
                <w:b/>
                <w:bCs/>
              </w:rPr>
            </w:pPr>
            <w:r w:rsidRPr="00614528">
              <w:rPr>
                <w:b/>
                <w:bCs/>
              </w:rPr>
              <w:t xml:space="preserve">+ </w:t>
            </w:r>
            <w:r>
              <w:rPr>
                <w:b/>
                <w:bCs/>
              </w:rPr>
              <w:t>24.29</w:t>
            </w:r>
            <w:r w:rsidRPr="00614528">
              <w:rPr>
                <w:b/>
                <w:bCs/>
              </w:rPr>
              <w:t>%</w:t>
            </w:r>
          </w:p>
        </w:tc>
      </w:tr>
      <w:tr w:rsidR="00501457" w:rsidRPr="00467377" w:rsidTr="006E046A">
        <w:trPr>
          <w:trHeight w:hRule="exact" w:val="454"/>
        </w:trPr>
        <w:tc>
          <w:tcPr>
            <w:tcW w:w="3970" w:type="dxa"/>
            <w:vAlign w:val="center"/>
          </w:tcPr>
          <w:p w:rsidR="00501457" w:rsidRPr="00467377" w:rsidRDefault="00501457" w:rsidP="00501457">
            <w:pPr>
              <w:jc w:val="right"/>
              <w:rPr>
                <w:rFonts w:hint="cs"/>
              </w:rPr>
            </w:pPr>
            <w:r w:rsidRPr="00467377">
              <w:t>Gas</w:t>
            </w:r>
          </w:p>
        </w:tc>
        <w:tc>
          <w:tcPr>
            <w:tcW w:w="1275" w:type="dxa"/>
            <w:vAlign w:val="center"/>
          </w:tcPr>
          <w:p w:rsidR="00501457" w:rsidRPr="00467377" w:rsidRDefault="00501457" w:rsidP="00501457">
            <w:pPr>
              <w:tabs>
                <w:tab w:val="right" w:pos="338"/>
              </w:tabs>
              <w:rPr>
                <w:rFonts w:hint="cs"/>
                <w:rtl/>
              </w:rPr>
            </w:pPr>
            <w:r>
              <w:t>+</w:t>
            </w:r>
            <w:r w:rsidRPr="00467377">
              <w:t xml:space="preserve"> </w:t>
            </w:r>
            <w:r>
              <w:t>97.65</w:t>
            </w:r>
            <w:r w:rsidRPr="00467377">
              <w:t>%</w:t>
            </w:r>
          </w:p>
        </w:tc>
      </w:tr>
      <w:tr w:rsidR="00501457" w:rsidRPr="00467377" w:rsidTr="006E046A">
        <w:trPr>
          <w:trHeight w:hRule="exact" w:val="631"/>
        </w:trPr>
        <w:tc>
          <w:tcPr>
            <w:tcW w:w="3970" w:type="dxa"/>
            <w:vAlign w:val="center"/>
          </w:tcPr>
          <w:p w:rsidR="00501457" w:rsidRPr="008F3CD0" w:rsidRDefault="00501457" w:rsidP="00501457">
            <w:pPr>
              <w:jc w:val="right"/>
              <w:rPr>
                <w:b/>
                <w:bCs/>
              </w:rPr>
            </w:pPr>
            <w:r w:rsidRPr="008F3CD0">
              <w:rPr>
                <w:b/>
                <w:bCs/>
              </w:rPr>
              <w:t>Alcholoic Beverages, Tobacco and Narcotics</w:t>
            </w:r>
          </w:p>
        </w:tc>
        <w:tc>
          <w:tcPr>
            <w:tcW w:w="1275" w:type="dxa"/>
            <w:vAlign w:val="center"/>
          </w:tcPr>
          <w:p w:rsidR="00501457" w:rsidRPr="00712326" w:rsidRDefault="00501457" w:rsidP="00712326">
            <w:pPr>
              <w:tabs>
                <w:tab w:val="right" w:pos="338"/>
              </w:tabs>
              <w:rPr>
                <w:rFonts w:hint="cs"/>
                <w:b/>
                <w:bCs/>
                <w:sz w:val="20"/>
                <w:szCs w:val="20"/>
              </w:rPr>
            </w:pPr>
            <w:r w:rsidRPr="00712326">
              <w:rPr>
                <w:b/>
                <w:bCs/>
                <w:sz w:val="20"/>
                <w:szCs w:val="20"/>
              </w:rPr>
              <w:t xml:space="preserve">  </w:t>
            </w:r>
            <w:r w:rsidR="00712326" w:rsidRPr="00712326">
              <w:rPr>
                <w:b/>
                <w:bCs/>
                <w:sz w:val="20"/>
                <w:szCs w:val="20"/>
              </w:rPr>
              <w:t xml:space="preserve">+ </w:t>
            </w:r>
            <w:r w:rsidRPr="00712326">
              <w:rPr>
                <w:b/>
                <w:bCs/>
                <w:sz w:val="20"/>
                <w:szCs w:val="20"/>
              </w:rPr>
              <w:t>510.59%</w:t>
            </w:r>
          </w:p>
        </w:tc>
      </w:tr>
      <w:tr w:rsidR="00501457" w:rsidRPr="00467377" w:rsidTr="006E046A">
        <w:trPr>
          <w:trHeight w:hRule="exact" w:val="454"/>
        </w:trPr>
        <w:tc>
          <w:tcPr>
            <w:tcW w:w="3970" w:type="dxa"/>
            <w:vAlign w:val="center"/>
          </w:tcPr>
          <w:p w:rsidR="00501457" w:rsidRPr="008F3CD0" w:rsidRDefault="00501457" w:rsidP="00501457">
            <w:pPr>
              <w:jc w:val="right"/>
              <w:rPr>
                <w:rFonts w:hint="cs"/>
              </w:rPr>
            </w:pPr>
            <w:r w:rsidRPr="00501457">
              <w:t xml:space="preserve">Imported </w:t>
            </w:r>
            <w:r>
              <w:t>C</w:t>
            </w:r>
            <w:r w:rsidRPr="00501457">
              <w:t>igarettes</w:t>
            </w:r>
          </w:p>
        </w:tc>
        <w:tc>
          <w:tcPr>
            <w:tcW w:w="1275" w:type="dxa"/>
            <w:vAlign w:val="center"/>
          </w:tcPr>
          <w:p w:rsidR="00501457" w:rsidRDefault="00501457" w:rsidP="00501457">
            <w:pPr>
              <w:tabs>
                <w:tab w:val="right" w:pos="338"/>
              </w:tabs>
            </w:pPr>
            <w:r>
              <w:t>+ 589.40%</w:t>
            </w:r>
          </w:p>
        </w:tc>
      </w:tr>
    </w:tbl>
    <w:p w:rsidR="001F0975" w:rsidRDefault="001F0975" w:rsidP="00B6359E">
      <w:pPr>
        <w:rPr>
          <w:rFonts w:hint="cs"/>
          <w:b/>
          <w:bCs/>
          <w:color w:val="000000"/>
        </w:rPr>
      </w:pPr>
    </w:p>
    <w:p w:rsidR="00373630" w:rsidRPr="00681E97" w:rsidRDefault="00373630" w:rsidP="001136D6">
      <w:pPr>
        <w:bidi w:val="0"/>
        <w:jc w:val="both"/>
        <w:rPr>
          <w:b/>
          <w:bCs/>
          <w:sz w:val="28"/>
          <w:szCs w:val="28"/>
        </w:rPr>
      </w:pPr>
      <w:r w:rsidRPr="00681E97">
        <w:rPr>
          <w:b/>
          <w:bCs/>
          <w:sz w:val="28"/>
          <w:szCs w:val="28"/>
        </w:rPr>
        <w:t>Consumer Price Index since 1996</w:t>
      </w:r>
    </w:p>
    <w:p w:rsidR="004124CD" w:rsidRDefault="004124CD" w:rsidP="00373630">
      <w:pPr>
        <w:bidi w:val="0"/>
        <w:jc w:val="both"/>
        <w:rPr>
          <w:rFonts w:ascii="Calibri" w:hAnsi="Calibri" w:cs="Calibri"/>
          <w:sz w:val="26"/>
          <w:szCs w:val="26"/>
        </w:rPr>
      </w:pPr>
      <w:r w:rsidRPr="00681E97">
        <w:rPr>
          <w:sz w:val="26"/>
          <w:szCs w:val="26"/>
        </w:rPr>
        <w:t xml:space="preserve">Consumer Price Index increased by </w:t>
      </w:r>
      <w:r w:rsidR="00373630" w:rsidRPr="00681E97">
        <w:rPr>
          <w:sz w:val="26"/>
          <w:szCs w:val="26"/>
        </w:rPr>
        <w:t>248</w:t>
      </w:r>
      <w:r w:rsidRPr="00681E97">
        <w:rPr>
          <w:sz w:val="26"/>
          <w:szCs w:val="26"/>
        </w:rPr>
        <w:t xml:space="preserve">% in 1996 and up to </w:t>
      </w:r>
      <w:r w:rsidR="00373630" w:rsidRPr="00681E97">
        <w:rPr>
          <w:sz w:val="26"/>
          <w:szCs w:val="26"/>
        </w:rPr>
        <w:t>2024</w:t>
      </w:r>
      <w:r w:rsidRPr="00681E97">
        <w:rPr>
          <w:sz w:val="26"/>
          <w:szCs w:val="26"/>
        </w:rPr>
        <w:t xml:space="preserve">; an increase of </w:t>
      </w:r>
      <w:r w:rsidR="00373630" w:rsidRPr="00681E97">
        <w:rPr>
          <w:sz w:val="26"/>
          <w:szCs w:val="26"/>
        </w:rPr>
        <w:t>2</w:t>
      </w:r>
      <w:r w:rsidRPr="00681E97">
        <w:rPr>
          <w:sz w:val="26"/>
          <w:szCs w:val="26"/>
        </w:rPr>
        <w:t>,</w:t>
      </w:r>
      <w:r w:rsidR="00373630" w:rsidRPr="00681E97">
        <w:rPr>
          <w:sz w:val="26"/>
          <w:szCs w:val="26"/>
        </w:rPr>
        <w:t xml:space="preserve">475 </w:t>
      </w:r>
      <w:r w:rsidRPr="00681E97">
        <w:rPr>
          <w:sz w:val="26"/>
          <w:szCs w:val="26"/>
        </w:rPr>
        <w:t xml:space="preserve">NIS/1,000 NIS of the monthly wages. So, if it is calculated since 2004, the CPI increased by </w:t>
      </w:r>
      <w:r w:rsidR="00373630" w:rsidRPr="00681E97">
        <w:rPr>
          <w:sz w:val="26"/>
          <w:szCs w:val="26"/>
        </w:rPr>
        <w:t>146</w:t>
      </w:r>
      <w:r w:rsidRPr="00681E97">
        <w:rPr>
          <w:sz w:val="26"/>
          <w:szCs w:val="26"/>
        </w:rPr>
        <w:t xml:space="preserve">%; an increase of </w:t>
      </w:r>
      <w:r w:rsidR="00373630" w:rsidRPr="00681E97">
        <w:rPr>
          <w:sz w:val="26"/>
          <w:szCs w:val="26"/>
        </w:rPr>
        <w:t>1,462</w:t>
      </w:r>
      <w:r w:rsidRPr="00681E97">
        <w:rPr>
          <w:sz w:val="26"/>
          <w:szCs w:val="26"/>
        </w:rPr>
        <w:t xml:space="preserve"> NIS/1,000 NIS of the monthly wages, it should be noted that the </w:t>
      </w:r>
      <w:r w:rsidR="001136D6" w:rsidRPr="00681E97">
        <w:rPr>
          <w:sz w:val="26"/>
          <w:szCs w:val="26"/>
        </w:rPr>
        <w:t xml:space="preserve">erosion of wages and salaries reached about </w:t>
      </w:r>
      <w:r w:rsidR="00373630" w:rsidRPr="00681E97">
        <w:rPr>
          <w:sz w:val="26"/>
          <w:szCs w:val="26"/>
        </w:rPr>
        <w:t>124</w:t>
      </w:r>
      <w:r w:rsidR="001136D6" w:rsidRPr="00681E97">
        <w:rPr>
          <w:sz w:val="26"/>
          <w:szCs w:val="26"/>
        </w:rPr>
        <w:t xml:space="preserve">% from 2008 to </w:t>
      </w:r>
      <w:r w:rsidR="00373630" w:rsidRPr="00681E97">
        <w:rPr>
          <w:sz w:val="26"/>
          <w:szCs w:val="26"/>
        </w:rPr>
        <w:t>2024</w:t>
      </w:r>
      <w:r w:rsidR="001136D6" w:rsidRPr="00681E97">
        <w:rPr>
          <w:sz w:val="26"/>
          <w:szCs w:val="26"/>
        </w:rPr>
        <w:t xml:space="preserve"> due to continuous increases in prices over the past years.</w:t>
      </w:r>
    </w:p>
    <w:p w:rsidR="00681E97" w:rsidRDefault="00681E97" w:rsidP="00681E97">
      <w:pPr>
        <w:bidi w:val="0"/>
        <w:jc w:val="both"/>
        <w:rPr>
          <w:rFonts w:ascii="Calibri" w:hAnsi="Calibri" w:cs="Calibri"/>
          <w:sz w:val="26"/>
          <w:szCs w:val="26"/>
        </w:rPr>
      </w:pPr>
    </w:p>
    <w:p w:rsidR="00681E97" w:rsidRDefault="00681E97" w:rsidP="00681E97">
      <w:pPr>
        <w:bidi w:val="0"/>
        <w:jc w:val="both"/>
        <w:rPr>
          <w:rFonts w:ascii="Calibri" w:hAnsi="Calibri" w:cs="Calibri"/>
          <w:sz w:val="26"/>
          <w:szCs w:val="26"/>
        </w:rPr>
      </w:pPr>
    </w:p>
    <w:p w:rsidR="00681E97" w:rsidRDefault="00681E97" w:rsidP="00681E97">
      <w:pPr>
        <w:bidi w:val="0"/>
        <w:jc w:val="both"/>
        <w:rPr>
          <w:rFonts w:ascii="Calibri" w:hAnsi="Calibri" w:cs="Calibri"/>
          <w:sz w:val="26"/>
          <w:szCs w:val="26"/>
        </w:rPr>
      </w:pPr>
    </w:p>
    <w:p w:rsidR="00681E97" w:rsidRDefault="00681E97" w:rsidP="00681E97">
      <w:pPr>
        <w:bidi w:val="0"/>
        <w:jc w:val="both"/>
        <w:rPr>
          <w:rFonts w:ascii="Calibri" w:hAnsi="Calibri" w:cs="Calibri"/>
          <w:sz w:val="26"/>
          <w:szCs w:val="26"/>
        </w:rPr>
      </w:pPr>
    </w:p>
    <w:p w:rsidR="00681E97" w:rsidRPr="00681E97" w:rsidRDefault="00681E97" w:rsidP="00681E97">
      <w:pPr>
        <w:bidi w:val="0"/>
        <w:jc w:val="both"/>
        <w:rPr>
          <w:rFonts w:ascii="Calibri" w:hAnsi="Calibri" w:cs="Calibri"/>
          <w:sz w:val="26"/>
          <w:szCs w:val="26"/>
        </w:rPr>
      </w:pPr>
    </w:p>
    <w:p w:rsidR="001136D6" w:rsidRDefault="001136D6" w:rsidP="00373630">
      <w:pPr>
        <w:rPr>
          <w:rFonts w:hint="cs"/>
          <w:b/>
          <w:bCs/>
          <w:color w:val="000000"/>
          <w:rtl/>
        </w:rPr>
      </w:pPr>
    </w:p>
    <w:p w:rsidR="004B2600" w:rsidRPr="00681E97" w:rsidRDefault="004B2600" w:rsidP="008D4589">
      <w:pPr>
        <w:jc w:val="center"/>
        <w:rPr>
          <w:b/>
          <w:bCs/>
          <w:color w:val="000000"/>
          <w:sz w:val="26"/>
          <w:szCs w:val="26"/>
        </w:rPr>
      </w:pPr>
      <w:r w:rsidRPr="00681E97">
        <w:rPr>
          <w:b/>
          <w:bCs/>
          <w:color w:val="000000"/>
          <w:sz w:val="26"/>
          <w:szCs w:val="26"/>
        </w:rPr>
        <w:lastRenderedPageBreak/>
        <w:t>Yearly percent change</w:t>
      </w:r>
      <w:r w:rsidR="00A10A5B" w:rsidRPr="00681E97">
        <w:rPr>
          <w:b/>
          <w:bCs/>
          <w:color w:val="000000"/>
          <w:sz w:val="26"/>
          <w:szCs w:val="26"/>
        </w:rPr>
        <w:t>s</w:t>
      </w:r>
      <w:r w:rsidRPr="00681E97">
        <w:rPr>
          <w:b/>
          <w:bCs/>
          <w:color w:val="000000"/>
          <w:sz w:val="26"/>
          <w:szCs w:val="26"/>
        </w:rPr>
        <w:t xml:space="preserve"> in Consumer price index in Palestine for</w:t>
      </w:r>
      <w:r w:rsidR="0086364F" w:rsidRPr="00681E97">
        <w:rPr>
          <w:b/>
          <w:bCs/>
          <w:color w:val="000000"/>
          <w:sz w:val="26"/>
          <w:szCs w:val="26"/>
        </w:rPr>
        <w:t>:</w:t>
      </w:r>
      <w:r w:rsidRPr="00681E97">
        <w:rPr>
          <w:b/>
          <w:bCs/>
          <w:color w:val="000000"/>
          <w:sz w:val="26"/>
          <w:szCs w:val="26"/>
        </w:rPr>
        <w:t xml:space="preserve"> </w:t>
      </w:r>
      <w:r w:rsidR="008F72B5" w:rsidRPr="00681E97">
        <w:rPr>
          <w:b/>
          <w:bCs/>
          <w:color w:val="000000"/>
          <w:sz w:val="26"/>
          <w:szCs w:val="26"/>
        </w:rPr>
        <w:t>2007</w:t>
      </w:r>
      <w:r w:rsidRPr="00681E97">
        <w:rPr>
          <w:b/>
          <w:bCs/>
          <w:color w:val="000000"/>
          <w:sz w:val="26"/>
          <w:szCs w:val="26"/>
        </w:rPr>
        <w:t xml:space="preserve"> – </w:t>
      </w:r>
      <w:r w:rsidR="008D4589" w:rsidRPr="00681E97">
        <w:rPr>
          <w:b/>
          <w:bCs/>
          <w:color w:val="000000"/>
          <w:sz w:val="26"/>
          <w:szCs w:val="26"/>
        </w:rPr>
        <w:t>2024</w:t>
      </w:r>
    </w:p>
    <w:p w:rsidR="00E5231D" w:rsidRPr="001C73AE" w:rsidRDefault="00E5231D" w:rsidP="00400135">
      <w:pPr>
        <w:jc w:val="center"/>
        <w:rPr>
          <w:rFonts w:hint="cs"/>
          <w:b/>
          <w:bCs/>
          <w:color w:val="000000"/>
          <w:sz w:val="14"/>
          <w:szCs w:val="14"/>
        </w:rPr>
      </w:pPr>
    </w:p>
    <w:p w:rsidR="00CE0D6C" w:rsidRDefault="0066491B" w:rsidP="00E5231D">
      <w:pPr>
        <w:bidi w:val="0"/>
        <w:jc w:val="center"/>
        <w:rPr>
          <w:color w:val="000000"/>
        </w:rPr>
      </w:pPr>
      <w:r>
        <w:rPr>
          <w:noProof/>
          <w:color w:val="000000"/>
          <w:lang w:val="en-GB" w:eastAsia="en-GB"/>
        </w:rPr>
        <w:drawing>
          <wp:inline distT="0" distB="0" distL="0" distR="0">
            <wp:extent cx="2924175" cy="21717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016B" w:rsidRDefault="0053016B" w:rsidP="0053016B">
      <w:pPr>
        <w:autoSpaceDE w:val="0"/>
        <w:autoSpaceDN w:val="0"/>
        <w:bidi w:val="0"/>
        <w:adjustRightInd w:val="0"/>
        <w:jc w:val="both"/>
        <w:rPr>
          <w:rFonts w:cs="Simplified Arabic"/>
          <w:b/>
          <w:bCs/>
          <w:snapToGrid w:val="0"/>
          <w:sz w:val="20"/>
          <w:szCs w:val="20"/>
        </w:rPr>
      </w:pPr>
    </w:p>
    <w:p w:rsidR="0053016B" w:rsidRPr="00681E97" w:rsidRDefault="0053016B" w:rsidP="0053016B">
      <w:pPr>
        <w:autoSpaceDE w:val="0"/>
        <w:autoSpaceDN w:val="0"/>
        <w:bidi w:val="0"/>
        <w:adjustRightInd w:val="0"/>
        <w:jc w:val="both"/>
        <w:rPr>
          <w:rFonts w:cs="Simplified Arabic"/>
          <w:snapToGrid w:val="0"/>
        </w:rPr>
      </w:pPr>
      <w:r w:rsidRPr="00681E97">
        <w:rPr>
          <w:rFonts w:cs="Simplified Arabic"/>
          <w:b/>
          <w:bCs/>
          <w:snapToGrid w:val="0"/>
        </w:rPr>
        <w:t>Notes</w:t>
      </w:r>
      <w:r w:rsidRPr="00681E97">
        <w:rPr>
          <w:rFonts w:cs="Simplified Arabic"/>
          <w:snapToGrid w:val="0"/>
        </w:rPr>
        <w:t>:</w:t>
      </w:r>
    </w:p>
    <w:p w:rsidR="0053016B" w:rsidRPr="00681E97" w:rsidRDefault="0053016B" w:rsidP="0053016B">
      <w:pPr>
        <w:bidi w:val="0"/>
        <w:jc w:val="both"/>
        <w:rPr>
          <w:sz w:val="22"/>
          <w:szCs w:val="22"/>
        </w:rPr>
      </w:pPr>
      <w:r w:rsidRPr="00681E97">
        <w:rPr>
          <w:sz w:val="22"/>
          <w:szCs w:val="22"/>
        </w:rPr>
        <w:t>*Data represent those parts of Jerusalem, which were annexed by Israeli Occupation in 1967.</w:t>
      </w:r>
    </w:p>
    <w:p w:rsidR="0053016B" w:rsidRPr="00681E97" w:rsidRDefault="0053016B" w:rsidP="0053016B">
      <w:pPr>
        <w:bidi w:val="0"/>
        <w:jc w:val="both"/>
        <w:rPr>
          <w:sz w:val="22"/>
          <w:szCs w:val="22"/>
        </w:rPr>
      </w:pPr>
    </w:p>
    <w:p w:rsidR="0053016B" w:rsidRPr="00681E97" w:rsidRDefault="0053016B" w:rsidP="0053016B">
      <w:pPr>
        <w:bidi w:val="0"/>
        <w:jc w:val="both"/>
        <w:rPr>
          <w:sz w:val="22"/>
          <w:szCs w:val="22"/>
        </w:rPr>
      </w:pPr>
      <w:r w:rsidRPr="00681E97">
        <w:rPr>
          <w:sz w:val="22"/>
          <w:szCs w:val="22"/>
        </w:rPr>
        <w:t>**Data exclude those parts of Jerusalem, which were annexed by Israeli Occupation in 1967.</w:t>
      </w:r>
    </w:p>
    <w:p w:rsidR="00EE5805" w:rsidRPr="00681E97" w:rsidRDefault="00EE5805" w:rsidP="00EE5805">
      <w:pPr>
        <w:bidi w:val="0"/>
        <w:jc w:val="both"/>
        <w:rPr>
          <w:sz w:val="22"/>
          <w:szCs w:val="22"/>
        </w:rPr>
      </w:pPr>
    </w:p>
    <w:p w:rsidR="00726C57" w:rsidRPr="00681E97" w:rsidRDefault="00726C57" w:rsidP="002C4863">
      <w:pPr>
        <w:bidi w:val="0"/>
        <w:jc w:val="both"/>
        <w:rPr>
          <w:sz w:val="22"/>
          <w:szCs w:val="22"/>
        </w:rPr>
      </w:pPr>
      <w:r w:rsidRPr="00681E97">
        <w:rPr>
          <w:sz w:val="22"/>
          <w:szCs w:val="22"/>
        </w:rPr>
        <w:t xml:space="preserve">The prices of goods and services were collected in New Israeli Shekels (NIS).  The yearly average exchange rate of the US Dollar during </w:t>
      </w:r>
      <w:r w:rsidR="002C4863" w:rsidRPr="00681E97">
        <w:rPr>
          <w:sz w:val="22"/>
          <w:szCs w:val="22"/>
        </w:rPr>
        <w:t>2024</w:t>
      </w:r>
      <w:r w:rsidRPr="00681E97">
        <w:rPr>
          <w:sz w:val="22"/>
          <w:szCs w:val="22"/>
        </w:rPr>
        <w:t xml:space="preserve"> is (</w:t>
      </w:r>
      <w:r w:rsidR="002C4863" w:rsidRPr="00681E97">
        <w:rPr>
          <w:sz w:val="22"/>
          <w:szCs w:val="22"/>
        </w:rPr>
        <w:t>3.70</w:t>
      </w:r>
      <w:r w:rsidRPr="00681E97">
        <w:rPr>
          <w:sz w:val="22"/>
          <w:szCs w:val="22"/>
        </w:rPr>
        <w:t xml:space="preserve"> NIS/$).</w:t>
      </w:r>
    </w:p>
    <w:p w:rsidR="00EE5805" w:rsidRPr="00681E97" w:rsidRDefault="00EE5805" w:rsidP="00EE5805">
      <w:pPr>
        <w:bidi w:val="0"/>
        <w:jc w:val="both"/>
        <w:rPr>
          <w:sz w:val="22"/>
          <w:szCs w:val="22"/>
        </w:rPr>
      </w:pPr>
    </w:p>
    <w:p w:rsidR="00EE5805" w:rsidRPr="00681E97" w:rsidRDefault="00EE5805" w:rsidP="00EE5805">
      <w:pPr>
        <w:bidi w:val="0"/>
        <w:jc w:val="both"/>
        <w:rPr>
          <w:sz w:val="22"/>
          <w:szCs w:val="22"/>
        </w:rPr>
      </w:pPr>
      <w:r w:rsidRPr="00681E97">
        <w:rPr>
          <w:sz w:val="22"/>
          <w:szCs w:val="22"/>
        </w:rPr>
        <w:t>Due to the Israeli aggression against Gaza Strip since October 7th, 2023, the data for 2024 were collected through direct phone contact with PCBS fieldworkers working in Gaza Strip. They focused on the prices for basic commodities purchased by them and those that are of high relative importance within the main major groups of expenditure in the consumer price index.</w:t>
      </w:r>
    </w:p>
    <w:p w:rsidR="00EE5805" w:rsidRPr="00681E97" w:rsidRDefault="00EE5805" w:rsidP="00EE5805">
      <w:pPr>
        <w:bidi w:val="0"/>
        <w:jc w:val="both"/>
        <w:rPr>
          <w:sz w:val="22"/>
          <w:szCs w:val="22"/>
        </w:rPr>
      </w:pPr>
    </w:p>
    <w:p w:rsidR="00EE5805" w:rsidRPr="00681E97" w:rsidRDefault="00EE5805" w:rsidP="00EE5805">
      <w:pPr>
        <w:bidi w:val="0"/>
        <w:jc w:val="both"/>
        <w:rPr>
          <w:sz w:val="22"/>
          <w:szCs w:val="22"/>
        </w:rPr>
      </w:pPr>
      <w:r w:rsidRPr="00681E97">
        <w:rPr>
          <w:sz w:val="22"/>
          <w:szCs w:val="22"/>
        </w:rPr>
        <w:t>The price level in the Gaza Strip is weighted, with the price in northern and central Gaza constituting 0.25% of the total average price, while in Rafah, Khan Younis, and Deir al-Balah it constitutes 0.75%, as most purchases made in the central and southern areas of Gaza Strip.</w:t>
      </w:r>
    </w:p>
    <w:p w:rsidR="007235C0" w:rsidRPr="00681E97" w:rsidRDefault="007235C0" w:rsidP="007235C0">
      <w:pPr>
        <w:bidi w:val="0"/>
        <w:jc w:val="both"/>
        <w:rPr>
          <w:sz w:val="22"/>
          <w:szCs w:val="22"/>
        </w:rPr>
      </w:pPr>
    </w:p>
    <w:p w:rsidR="007235C0" w:rsidRPr="00681E97" w:rsidRDefault="007235C0" w:rsidP="007235C0">
      <w:pPr>
        <w:bidi w:val="0"/>
        <w:jc w:val="both"/>
        <w:rPr>
          <w:sz w:val="22"/>
          <w:szCs w:val="22"/>
        </w:rPr>
      </w:pPr>
      <w:r w:rsidRPr="00681E97">
        <w:rPr>
          <w:sz w:val="22"/>
          <w:szCs w:val="22"/>
        </w:rPr>
        <w:t>Consumer Price Index</w:t>
      </w:r>
      <w:r w:rsidRPr="00681E97">
        <w:rPr>
          <w:b/>
          <w:bCs/>
          <w:sz w:val="22"/>
          <w:szCs w:val="22"/>
        </w:rPr>
        <w:t xml:space="preserve"> </w:t>
      </w:r>
      <w:r w:rsidRPr="00681E97">
        <w:rPr>
          <w:sz w:val="22"/>
          <w:szCs w:val="22"/>
        </w:rPr>
        <w:t>for Palestine is weighted according to household expenditure and consumption ratios for the year 2016-2017 at the level of the Palestinian territories as follows: (0.66% for the West Bank**, 0.21% for Gaza Strip, and 0.13% for Jerusalem J1*).</w:t>
      </w:r>
    </w:p>
    <w:p w:rsidR="00EE5805" w:rsidRPr="00681E97" w:rsidRDefault="00EE5805" w:rsidP="00EE5805">
      <w:pPr>
        <w:bidi w:val="0"/>
        <w:jc w:val="both"/>
        <w:rPr>
          <w:sz w:val="22"/>
          <w:szCs w:val="22"/>
        </w:rPr>
      </w:pPr>
    </w:p>
    <w:p w:rsidR="0053016B" w:rsidRPr="00681E97" w:rsidRDefault="0053016B" w:rsidP="0053016B">
      <w:pPr>
        <w:pStyle w:val="ListParagraph"/>
        <w:bidi w:val="0"/>
        <w:ind w:left="0"/>
        <w:jc w:val="both"/>
        <w:rPr>
          <w:rFonts w:hint="cs"/>
          <w:sz w:val="22"/>
          <w:szCs w:val="22"/>
          <w:rtl/>
        </w:rPr>
      </w:pPr>
      <w:r w:rsidRPr="00681E97">
        <w:rPr>
          <w:sz w:val="22"/>
          <w:szCs w:val="22"/>
        </w:rPr>
        <w:t>Please note that the press release in English is brief compared to the Arabic version</w:t>
      </w:r>
    </w:p>
    <w:p w:rsidR="001136D6" w:rsidRPr="003B0FAF" w:rsidRDefault="001136D6" w:rsidP="001136D6">
      <w:pPr>
        <w:pStyle w:val="ListParagraph"/>
        <w:bidi w:val="0"/>
        <w:ind w:left="0"/>
        <w:jc w:val="both"/>
        <w:rPr>
          <w:sz w:val="20"/>
          <w:szCs w:val="20"/>
        </w:rPr>
      </w:pPr>
    </w:p>
    <w:p w:rsidR="0053016B" w:rsidRDefault="0053016B" w:rsidP="0053016B">
      <w:pPr>
        <w:bidi w:val="0"/>
        <w:jc w:val="both"/>
        <w:rPr>
          <w:b/>
          <w:bCs/>
          <w:sz w:val="12"/>
          <w:szCs w:val="12"/>
        </w:rPr>
      </w:pPr>
    </w:p>
    <w:p w:rsidR="003A15CE" w:rsidRDefault="003A15CE" w:rsidP="003A15CE">
      <w:pPr>
        <w:bidi w:val="0"/>
        <w:jc w:val="both"/>
      </w:pPr>
    </w:p>
    <w:sectPr w:rsidR="003A15CE" w:rsidSect="00071011">
      <w:footerReference w:type="even" r:id="rId10"/>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A7D" w:rsidRDefault="00FA0A7D">
      <w:r>
        <w:separator/>
      </w:r>
    </w:p>
  </w:endnote>
  <w:endnote w:type="continuationSeparator" w:id="0">
    <w:p w:rsidR="00FA0A7D" w:rsidRDefault="00FA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06" w:rsidRDefault="00BF2106">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F2106" w:rsidRDefault="00BF210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A7D" w:rsidRDefault="00FA0A7D">
      <w:r>
        <w:separator/>
      </w:r>
    </w:p>
  </w:footnote>
  <w:footnote w:type="continuationSeparator" w:id="0">
    <w:p w:rsidR="00FA0A7D" w:rsidRDefault="00FA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2"/>
  </w:num>
  <w:num w:numId="14">
    <w:abstractNumId w:val="16"/>
  </w:num>
  <w:num w:numId="15">
    <w:abstractNumId w:val="15"/>
  </w:num>
  <w:num w:numId="16">
    <w:abstractNumId w:val="21"/>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3BE4"/>
    <w:rsid w:val="00012B32"/>
    <w:rsid w:val="000131BF"/>
    <w:rsid w:val="0001359B"/>
    <w:rsid w:val="0001657F"/>
    <w:rsid w:val="0002050A"/>
    <w:rsid w:val="0002118E"/>
    <w:rsid w:val="0002119F"/>
    <w:rsid w:val="00021F9A"/>
    <w:rsid w:val="000221D3"/>
    <w:rsid w:val="000257D5"/>
    <w:rsid w:val="0002644D"/>
    <w:rsid w:val="000264BF"/>
    <w:rsid w:val="000313CF"/>
    <w:rsid w:val="000332DA"/>
    <w:rsid w:val="0003502B"/>
    <w:rsid w:val="00035706"/>
    <w:rsid w:val="00035F12"/>
    <w:rsid w:val="0004173B"/>
    <w:rsid w:val="000427E2"/>
    <w:rsid w:val="000427FC"/>
    <w:rsid w:val="00045CBA"/>
    <w:rsid w:val="0005017A"/>
    <w:rsid w:val="00054B17"/>
    <w:rsid w:val="00055B54"/>
    <w:rsid w:val="00055BAB"/>
    <w:rsid w:val="00057B4E"/>
    <w:rsid w:val="00060ED9"/>
    <w:rsid w:val="000656AA"/>
    <w:rsid w:val="00066981"/>
    <w:rsid w:val="00067B98"/>
    <w:rsid w:val="00067CB2"/>
    <w:rsid w:val="00071011"/>
    <w:rsid w:val="00071304"/>
    <w:rsid w:val="00071F37"/>
    <w:rsid w:val="00073642"/>
    <w:rsid w:val="00073AC7"/>
    <w:rsid w:val="00074704"/>
    <w:rsid w:val="00076F07"/>
    <w:rsid w:val="00081872"/>
    <w:rsid w:val="00081D53"/>
    <w:rsid w:val="000824DE"/>
    <w:rsid w:val="00083865"/>
    <w:rsid w:val="00086547"/>
    <w:rsid w:val="00095C98"/>
    <w:rsid w:val="000A188D"/>
    <w:rsid w:val="000A3D00"/>
    <w:rsid w:val="000A52EB"/>
    <w:rsid w:val="000A7A9A"/>
    <w:rsid w:val="000B62D7"/>
    <w:rsid w:val="000C17B3"/>
    <w:rsid w:val="000C1ED1"/>
    <w:rsid w:val="000C2153"/>
    <w:rsid w:val="000C3942"/>
    <w:rsid w:val="000C5E2A"/>
    <w:rsid w:val="000C6CBB"/>
    <w:rsid w:val="000C6FC9"/>
    <w:rsid w:val="000C7C6C"/>
    <w:rsid w:val="000D1511"/>
    <w:rsid w:val="000D683E"/>
    <w:rsid w:val="000E0C0A"/>
    <w:rsid w:val="000E2C3E"/>
    <w:rsid w:val="000E7DAD"/>
    <w:rsid w:val="000F11E6"/>
    <w:rsid w:val="00101548"/>
    <w:rsid w:val="001023B4"/>
    <w:rsid w:val="00104985"/>
    <w:rsid w:val="001051B8"/>
    <w:rsid w:val="0010551F"/>
    <w:rsid w:val="00105F12"/>
    <w:rsid w:val="00110E17"/>
    <w:rsid w:val="00113085"/>
    <w:rsid w:val="0011347B"/>
    <w:rsid w:val="001136D6"/>
    <w:rsid w:val="0011407F"/>
    <w:rsid w:val="001202FC"/>
    <w:rsid w:val="00120C7D"/>
    <w:rsid w:val="00123C56"/>
    <w:rsid w:val="001277CD"/>
    <w:rsid w:val="00127CF6"/>
    <w:rsid w:val="001306BC"/>
    <w:rsid w:val="00131306"/>
    <w:rsid w:val="001321FD"/>
    <w:rsid w:val="001361D9"/>
    <w:rsid w:val="00136CE0"/>
    <w:rsid w:val="00136ECF"/>
    <w:rsid w:val="00137239"/>
    <w:rsid w:val="0013724F"/>
    <w:rsid w:val="00140ECF"/>
    <w:rsid w:val="001456F8"/>
    <w:rsid w:val="00147B13"/>
    <w:rsid w:val="00147C75"/>
    <w:rsid w:val="001517FA"/>
    <w:rsid w:val="001538E7"/>
    <w:rsid w:val="00153DAA"/>
    <w:rsid w:val="001557E3"/>
    <w:rsid w:val="0015686C"/>
    <w:rsid w:val="001601C9"/>
    <w:rsid w:val="001603A4"/>
    <w:rsid w:val="00162984"/>
    <w:rsid w:val="00164C8C"/>
    <w:rsid w:val="00164E97"/>
    <w:rsid w:val="001678C1"/>
    <w:rsid w:val="001718B1"/>
    <w:rsid w:val="00174A87"/>
    <w:rsid w:val="0017649B"/>
    <w:rsid w:val="001812E1"/>
    <w:rsid w:val="00181DA3"/>
    <w:rsid w:val="00184D07"/>
    <w:rsid w:val="001867F0"/>
    <w:rsid w:val="00193F9A"/>
    <w:rsid w:val="00194913"/>
    <w:rsid w:val="001956DE"/>
    <w:rsid w:val="001957C3"/>
    <w:rsid w:val="00196754"/>
    <w:rsid w:val="001978FC"/>
    <w:rsid w:val="00197A7D"/>
    <w:rsid w:val="00197C47"/>
    <w:rsid w:val="001A1C4F"/>
    <w:rsid w:val="001A227B"/>
    <w:rsid w:val="001A7768"/>
    <w:rsid w:val="001A7B62"/>
    <w:rsid w:val="001C008E"/>
    <w:rsid w:val="001C0AFF"/>
    <w:rsid w:val="001C3DB7"/>
    <w:rsid w:val="001C461C"/>
    <w:rsid w:val="001C73AE"/>
    <w:rsid w:val="001D1C4A"/>
    <w:rsid w:val="001E1B48"/>
    <w:rsid w:val="001E2526"/>
    <w:rsid w:val="001E2609"/>
    <w:rsid w:val="001F0975"/>
    <w:rsid w:val="001F17AF"/>
    <w:rsid w:val="001F29DB"/>
    <w:rsid w:val="001F4A1C"/>
    <w:rsid w:val="001F6D26"/>
    <w:rsid w:val="001F7A63"/>
    <w:rsid w:val="00200044"/>
    <w:rsid w:val="002011B9"/>
    <w:rsid w:val="00201C7A"/>
    <w:rsid w:val="00203289"/>
    <w:rsid w:val="002038C3"/>
    <w:rsid w:val="00203A90"/>
    <w:rsid w:val="0020470D"/>
    <w:rsid w:val="00205D65"/>
    <w:rsid w:val="002060F4"/>
    <w:rsid w:val="002126C2"/>
    <w:rsid w:val="002140F2"/>
    <w:rsid w:val="0021540D"/>
    <w:rsid w:val="00216370"/>
    <w:rsid w:val="002163FD"/>
    <w:rsid w:val="00216EB5"/>
    <w:rsid w:val="00217ED6"/>
    <w:rsid w:val="00221761"/>
    <w:rsid w:val="00224EF6"/>
    <w:rsid w:val="00224F72"/>
    <w:rsid w:val="00226AAB"/>
    <w:rsid w:val="002274ED"/>
    <w:rsid w:val="0023050B"/>
    <w:rsid w:val="00230579"/>
    <w:rsid w:val="00230EF5"/>
    <w:rsid w:val="00230FBE"/>
    <w:rsid w:val="002343AC"/>
    <w:rsid w:val="00235C24"/>
    <w:rsid w:val="00240D9B"/>
    <w:rsid w:val="00241C90"/>
    <w:rsid w:val="0024378C"/>
    <w:rsid w:val="0024690E"/>
    <w:rsid w:val="00247498"/>
    <w:rsid w:val="002513A4"/>
    <w:rsid w:val="002518F7"/>
    <w:rsid w:val="00254219"/>
    <w:rsid w:val="0025580A"/>
    <w:rsid w:val="0025601B"/>
    <w:rsid w:val="0025780B"/>
    <w:rsid w:val="00257A70"/>
    <w:rsid w:val="00261355"/>
    <w:rsid w:val="00261A6D"/>
    <w:rsid w:val="002661AB"/>
    <w:rsid w:val="00271672"/>
    <w:rsid w:val="00273615"/>
    <w:rsid w:val="00273BE1"/>
    <w:rsid w:val="00277D49"/>
    <w:rsid w:val="00281B0C"/>
    <w:rsid w:val="0028252A"/>
    <w:rsid w:val="00282C6F"/>
    <w:rsid w:val="00285074"/>
    <w:rsid w:val="00285781"/>
    <w:rsid w:val="00285A6B"/>
    <w:rsid w:val="00286D24"/>
    <w:rsid w:val="00290A9B"/>
    <w:rsid w:val="0029127E"/>
    <w:rsid w:val="0029310D"/>
    <w:rsid w:val="00297E1C"/>
    <w:rsid w:val="002A1337"/>
    <w:rsid w:val="002A1536"/>
    <w:rsid w:val="002A6EAD"/>
    <w:rsid w:val="002B420C"/>
    <w:rsid w:val="002B5395"/>
    <w:rsid w:val="002C17FF"/>
    <w:rsid w:val="002C4652"/>
    <w:rsid w:val="002C4863"/>
    <w:rsid w:val="002C48F3"/>
    <w:rsid w:val="002C4A4E"/>
    <w:rsid w:val="002C7AE7"/>
    <w:rsid w:val="002D06D9"/>
    <w:rsid w:val="002D238F"/>
    <w:rsid w:val="002D4815"/>
    <w:rsid w:val="002D4BA7"/>
    <w:rsid w:val="002D6B81"/>
    <w:rsid w:val="002E071A"/>
    <w:rsid w:val="002E09DE"/>
    <w:rsid w:val="002E19ED"/>
    <w:rsid w:val="002E1E45"/>
    <w:rsid w:val="002E4BC6"/>
    <w:rsid w:val="002E51BD"/>
    <w:rsid w:val="002F1812"/>
    <w:rsid w:val="002F444A"/>
    <w:rsid w:val="002F4A1D"/>
    <w:rsid w:val="002F6F7A"/>
    <w:rsid w:val="002F7973"/>
    <w:rsid w:val="002F7F70"/>
    <w:rsid w:val="003035B8"/>
    <w:rsid w:val="00305B59"/>
    <w:rsid w:val="0030687B"/>
    <w:rsid w:val="00306885"/>
    <w:rsid w:val="00306913"/>
    <w:rsid w:val="00306CD0"/>
    <w:rsid w:val="00310D59"/>
    <w:rsid w:val="0031427F"/>
    <w:rsid w:val="00314E6B"/>
    <w:rsid w:val="0031748D"/>
    <w:rsid w:val="003202E4"/>
    <w:rsid w:val="00320EDF"/>
    <w:rsid w:val="00320FBF"/>
    <w:rsid w:val="0032303E"/>
    <w:rsid w:val="00324287"/>
    <w:rsid w:val="00324F15"/>
    <w:rsid w:val="0032561D"/>
    <w:rsid w:val="00325E9D"/>
    <w:rsid w:val="00330DB1"/>
    <w:rsid w:val="003324D6"/>
    <w:rsid w:val="00334ABB"/>
    <w:rsid w:val="00337239"/>
    <w:rsid w:val="00337618"/>
    <w:rsid w:val="00337DDE"/>
    <w:rsid w:val="00337DDF"/>
    <w:rsid w:val="003428AB"/>
    <w:rsid w:val="003432CB"/>
    <w:rsid w:val="0034350C"/>
    <w:rsid w:val="00343DB3"/>
    <w:rsid w:val="0034683D"/>
    <w:rsid w:val="0034750E"/>
    <w:rsid w:val="00350EC3"/>
    <w:rsid w:val="00353D01"/>
    <w:rsid w:val="00354131"/>
    <w:rsid w:val="00354B17"/>
    <w:rsid w:val="00360CBA"/>
    <w:rsid w:val="00362760"/>
    <w:rsid w:val="00363CF0"/>
    <w:rsid w:val="003676FB"/>
    <w:rsid w:val="003732C9"/>
    <w:rsid w:val="00373630"/>
    <w:rsid w:val="00376A22"/>
    <w:rsid w:val="00381952"/>
    <w:rsid w:val="003822EE"/>
    <w:rsid w:val="00384C8F"/>
    <w:rsid w:val="00384D2F"/>
    <w:rsid w:val="00385BF4"/>
    <w:rsid w:val="00386AB7"/>
    <w:rsid w:val="00387149"/>
    <w:rsid w:val="00390535"/>
    <w:rsid w:val="00391C42"/>
    <w:rsid w:val="00392038"/>
    <w:rsid w:val="0039399F"/>
    <w:rsid w:val="003A0009"/>
    <w:rsid w:val="003A08B3"/>
    <w:rsid w:val="003A15CD"/>
    <w:rsid w:val="003A15CE"/>
    <w:rsid w:val="003A267E"/>
    <w:rsid w:val="003A471C"/>
    <w:rsid w:val="003A4932"/>
    <w:rsid w:val="003A5BA8"/>
    <w:rsid w:val="003A7BF1"/>
    <w:rsid w:val="003B0939"/>
    <w:rsid w:val="003B3A03"/>
    <w:rsid w:val="003B50B4"/>
    <w:rsid w:val="003B5322"/>
    <w:rsid w:val="003C1727"/>
    <w:rsid w:val="003C3381"/>
    <w:rsid w:val="003C5597"/>
    <w:rsid w:val="003C7CF1"/>
    <w:rsid w:val="003D0A3E"/>
    <w:rsid w:val="003D1652"/>
    <w:rsid w:val="003D273B"/>
    <w:rsid w:val="003D3971"/>
    <w:rsid w:val="003D3B0C"/>
    <w:rsid w:val="003D4CB4"/>
    <w:rsid w:val="003D73E5"/>
    <w:rsid w:val="003D7FDC"/>
    <w:rsid w:val="003E4D3F"/>
    <w:rsid w:val="003E5706"/>
    <w:rsid w:val="003E635D"/>
    <w:rsid w:val="003E7556"/>
    <w:rsid w:val="003E78FC"/>
    <w:rsid w:val="003F2797"/>
    <w:rsid w:val="003F4B94"/>
    <w:rsid w:val="003F5DF5"/>
    <w:rsid w:val="003F798B"/>
    <w:rsid w:val="00400135"/>
    <w:rsid w:val="0040056A"/>
    <w:rsid w:val="00401692"/>
    <w:rsid w:val="00405115"/>
    <w:rsid w:val="00405EEA"/>
    <w:rsid w:val="00406DA3"/>
    <w:rsid w:val="004073E2"/>
    <w:rsid w:val="004079A5"/>
    <w:rsid w:val="00410549"/>
    <w:rsid w:val="004124CD"/>
    <w:rsid w:val="00412F3D"/>
    <w:rsid w:val="00413519"/>
    <w:rsid w:val="00415020"/>
    <w:rsid w:val="00415025"/>
    <w:rsid w:val="0041507C"/>
    <w:rsid w:val="00416A05"/>
    <w:rsid w:val="0041745A"/>
    <w:rsid w:val="00417F81"/>
    <w:rsid w:val="00420D32"/>
    <w:rsid w:val="00422C13"/>
    <w:rsid w:val="004232C7"/>
    <w:rsid w:val="00424057"/>
    <w:rsid w:val="0042770A"/>
    <w:rsid w:val="00430B67"/>
    <w:rsid w:val="004312BE"/>
    <w:rsid w:val="00431925"/>
    <w:rsid w:val="004331D9"/>
    <w:rsid w:val="00440546"/>
    <w:rsid w:val="00441187"/>
    <w:rsid w:val="00443E02"/>
    <w:rsid w:val="00446033"/>
    <w:rsid w:val="00447D4A"/>
    <w:rsid w:val="004501C4"/>
    <w:rsid w:val="00450325"/>
    <w:rsid w:val="004505AF"/>
    <w:rsid w:val="0045193D"/>
    <w:rsid w:val="0045306E"/>
    <w:rsid w:val="004533AF"/>
    <w:rsid w:val="00453596"/>
    <w:rsid w:val="004564C5"/>
    <w:rsid w:val="00456C86"/>
    <w:rsid w:val="00462287"/>
    <w:rsid w:val="00463584"/>
    <w:rsid w:val="00463CF6"/>
    <w:rsid w:val="004647C4"/>
    <w:rsid w:val="00467377"/>
    <w:rsid w:val="004713B2"/>
    <w:rsid w:val="004717E5"/>
    <w:rsid w:val="00471DC4"/>
    <w:rsid w:val="00472C77"/>
    <w:rsid w:val="0047305D"/>
    <w:rsid w:val="00473FAB"/>
    <w:rsid w:val="00474501"/>
    <w:rsid w:val="004772E2"/>
    <w:rsid w:val="0047734A"/>
    <w:rsid w:val="0047735D"/>
    <w:rsid w:val="004777DC"/>
    <w:rsid w:val="00480977"/>
    <w:rsid w:val="004818E4"/>
    <w:rsid w:val="00481E9F"/>
    <w:rsid w:val="0048231B"/>
    <w:rsid w:val="00483D62"/>
    <w:rsid w:val="00485EA9"/>
    <w:rsid w:val="00486A15"/>
    <w:rsid w:val="00490525"/>
    <w:rsid w:val="0049279D"/>
    <w:rsid w:val="00492ABB"/>
    <w:rsid w:val="00494FEE"/>
    <w:rsid w:val="004A2645"/>
    <w:rsid w:val="004A26E9"/>
    <w:rsid w:val="004A3C0C"/>
    <w:rsid w:val="004A4901"/>
    <w:rsid w:val="004B0CF0"/>
    <w:rsid w:val="004B2215"/>
    <w:rsid w:val="004B2600"/>
    <w:rsid w:val="004B4673"/>
    <w:rsid w:val="004C0507"/>
    <w:rsid w:val="004C2832"/>
    <w:rsid w:val="004C4533"/>
    <w:rsid w:val="004C52A0"/>
    <w:rsid w:val="004C7A45"/>
    <w:rsid w:val="004D0A8B"/>
    <w:rsid w:val="004D4443"/>
    <w:rsid w:val="004D5007"/>
    <w:rsid w:val="004E10CB"/>
    <w:rsid w:val="004E1FA0"/>
    <w:rsid w:val="004E2334"/>
    <w:rsid w:val="004E242F"/>
    <w:rsid w:val="004E3782"/>
    <w:rsid w:val="004E3FF7"/>
    <w:rsid w:val="004E56FB"/>
    <w:rsid w:val="004E6A9D"/>
    <w:rsid w:val="004E71C4"/>
    <w:rsid w:val="004E75FD"/>
    <w:rsid w:val="004F3EB7"/>
    <w:rsid w:val="004F40FB"/>
    <w:rsid w:val="004F6FFC"/>
    <w:rsid w:val="00500224"/>
    <w:rsid w:val="00500B2A"/>
    <w:rsid w:val="00501457"/>
    <w:rsid w:val="00501F7F"/>
    <w:rsid w:val="00505582"/>
    <w:rsid w:val="00505BB5"/>
    <w:rsid w:val="00507BD7"/>
    <w:rsid w:val="005100F6"/>
    <w:rsid w:val="0051243E"/>
    <w:rsid w:val="005134BC"/>
    <w:rsid w:val="00514B79"/>
    <w:rsid w:val="00517FF6"/>
    <w:rsid w:val="00520718"/>
    <w:rsid w:val="00520DDA"/>
    <w:rsid w:val="005228CD"/>
    <w:rsid w:val="00523CB6"/>
    <w:rsid w:val="0052473F"/>
    <w:rsid w:val="0053016B"/>
    <w:rsid w:val="005314E2"/>
    <w:rsid w:val="005321B8"/>
    <w:rsid w:val="00532237"/>
    <w:rsid w:val="005334EF"/>
    <w:rsid w:val="0053383D"/>
    <w:rsid w:val="0053469F"/>
    <w:rsid w:val="005364E4"/>
    <w:rsid w:val="005365E0"/>
    <w:rsid w:val="00536D2D"/>
    <w:rsid w:val="00540D52"/>
    <w:rsid w:val="005416F3"/>
    <w:rsid w:val="00541E23"/>
    <w:rsid w:val="00542058"/>
    <w:rsid w:val="00543ECF"/>
    <w:rsid w:val="005455B7"/>
    <w:rsid w:val="00545BFA"/>
    <w:rsid w:val="0054634A"/>
    <w:rsid w:val="0054778A"/>
    <w:rsid w:val="00550D10"/>
    <w:rsid w:val="00554720"/>
    <w:rsid w:val="00554EC1"/>
    <w:rsid w:val="00556A77"/>
    <w:rsid w:val="005575DE"/>
    <w:rsid w:val="005612A7"/>
    <w:rsid w:val="005615D9"/>
    <w:rsid w:val="005628EE"/>
    <w:rsid w:val="00565980"/>
    <w:rsid w:val="00566612"/>
    <w:rsid w:val="0057006B"/>
    <w:rsid w:val="005707CB"/>
    <w:rsid w:val="0057347A"/>
    <w:rsid w:val="0057732C"/>
    <w:rsid w:val="005809F7"/>
    <w:rsid w:val="00581279"/>
    <w:rsid w:val="00583827"/>
    <w:rsid w:val="00583D03"/>
    <w:rsid w:val="005842D1"/>
    <w:rsid w:val="00584519"/>
    <w:rsid w:val="00585303"/>
    <w:rsid w:val="005855B9"/>
    <w:rsid w:val="005856D9"/>
    <w:rsid w:val="005863CE"/>
    <w:rsid w:val="0058668E"/>
    <w:rsid w:val="00590D62"/>
    <w:rsid w:val="00590F34"/>
    <w:rsid w:val="00594349"/>
    <w:rsid w:val="00594A59"/>
    <w:rsid w:val="00596EF4"/>
    <w:rsid w:val="005973B4"/>
    <w:rsid w:val="005B0C57"/>
    <w:rsid w:val="005C01F5"/>
    <w:rsid w:val="005C035D"/>
    <w:rsid w:val="005C281B"/>
    <w:rsid w:val="005D137C"/>
    <w:rsid w:val="005D1D24"/>
    <w:rsid w:val="005D51EB"/>
    <w:rsid w:val="005E126D"/>
    <w:rsid w:val="005E136C"/>
    <w:rsid w:val="005E1C54"/>
    <w:rsid w:val="005E1F36"/>
    <w:rsid w:val="005E386B"/>
    <w:rsid w:val="005E3CD8"/>
    <w:rsid w:val="005E6838"/>
    <w:rsid w:val="005F06BD"/>
    <w:rsid w:val="005F2FD4"/>
    <w:rsid w:val="005F39C9"/>
    <w:rsid w:val="005F62F0"/>
    <w:rsid w:val="005F63FA"/>
    <w:rsid w:val="005F692F"/>
    <w:rsid w:val="005F71C3"/>
    <w:rsid w:val="006020AD"/>
    <w:rsid w:val="00604ED1"/>
    <w:rsid w:val="00606E22"/>
    <w:rsid w:val="00607BE9"/>
    <w:rsid w:val="00610F2D"/>
    <w:rsid w:val="00611D8F"/>
    <w:rsid w:val="006134BE"/>
    <w:rsid w:val="00614528"/>
    <w:rsid w:val="00614ACC"/>
    <w:rsid w:val="006206BF"/>
    <w:rsid w:val="00620B70"/>
    <w:rsid w:val="00621743"/>
    <w:rsid w:val="00624C7C"/>
    <w:rsid w:val="00631214"/>
    <w:rsid w:val="00631430"/>
    <w:rsid w:val="006316F0"/>
    <w:rsid w:val="00631FE2"/>
    <w:rsid w:val="00633E0A"/>
    <w:rsid w:val="00636A34"/>
    <w:rsid w:val="00643BFB"/>
    <w:rsid w:val="006440B5"/>
    <w:rsid w:val="0064457F"/>
    <w:rsid w:val="00645E11"/>
    <w:rsid w:val="00650175"/>
    <w:rsid w:val="0065037A"/>
    <w:rsid w:val="006510BC"/>
    <w:rsid w:val="00651150"/>
    <w:rsid w:val="006516CA"/>
    <w:rsid w:val="00653516"/>
    <w:rsid w:val="00655992"/>
    <w:rsid w:val="00655B22"/>
    <w:rsid w:val="00656D02"/>
    <w:rsid w:val="00656E1C"/>
    <w:rsid w:val="006575F6"/>
    <w:rsid w:val="00660036"/>
    <w:rsid w:val="0066046C"/>
    <w:rsid w:val="006604AE"/>
    <w:rsid w:val="0066491B"/>
    <w:rsid w:val="0066531F"/>
    <w:rsid w:val="00665330"/>
    <w:rsid w:val="00665E04"/>
    <w:rsid w:val="00665FDB"/>
    <w:rsid w:val="006673F7"/>
    <w:rsid w:val="00667D32"/>
    <w:rsid w:val="006728A0"/>
    <w:rsid w:val="00674D09"/>
    <w:rsid w:val="006756C2"/>
    <w:rsid w:val="006757DF"/>
    <w:rsid w:val="0067610E"/>
    <w:rsid w:val="00681E97"/>
    <w:rsid w:val="006833E5"/>
    <w:rsid w:val="00684409"/>
    <w:rsid w:val="006852D2"/>
    <w:rsid w:val="006864E1"/>
    <w:rsid w:val="0069024A"/>
    <w:rsid w:val="00691CC4"/>
    <w:rsid w:val="00691D09"/>
    <w:rsid w:val="0069462D"/>
    <w:rsid w:val="00694699"/>
    <w:rsid w:val="006A0EB7"/>
    <w:rsid w:val="006A205F"/>
    <w:rsid w:val="006A4CF6"/>
    <w:rsid w:val="006A52B5"/>
    <w:rsid w:val="006A6401"/>
    <w:rsid w:val="006A6B78"/>
    <w:rsid w:val="006B0DD7"/>
    <w:rsid w:val="006B1D22"/>
    <w:rsid w:val="006B3039"/>
    <w:rsid w:val="006B3ED6"/>
    <w:rsid w:val="006C036D"/>
    <w:rsid w:val="006C191A"/>
    <w:rsid w:val="006C2D55"/>
    <w:rsid w:val="006C7C02"/>
    <w:rsid w:val="006D25A7"/>
    <w:rsid w:val="006D33F5"/>
    <w:rsid w:val="006D552D"/>
    <w:rsid w:val="006D77E3"/>
    <w:rsid w:val="006D7861"/>
    <w:rsid w:val="006D7C3F"/>
    <w:rsid w:val="006E046A"/>
    <w:rsid w:val="006E1B33"/>
    <w:rsid w:val="006E3B40"/>
    <w:rsid w:val="006E470E"/>
    <w:rsid w:val="006E4BFB"/>
    <w:rsid w:val="006E4F8B"/>
    <w:rsid w:val="006F0B8C"/>
    <w:rsid w:val="006F19D3"/>
    <w:rsid w:val="006F39BF"/>
    <w:rsid w:val="006F621E"/>
    <w:rsid w:val="00700557"/>
    <w:rsid w:val="00704D44"/>
    <w:rsid w:val="00704D92"/>
    <w:rsid w:val="00704F7E"/>
    <w:rsid w:val="007071F1"/>
    <w:rsid w:val="007079AF"/>
    <w:rsid w:val="0071002E"/>
    <w:rsid w:val="00710455"/>
    <w:rsid w:val="00710513"/>
    <w:rsid w:val="00711112"/>
    <w:rsid w:val="00711B69"/>
    <w:rsid w:val="00711DE1"/>
    <w:rsid w:val="00711EE6"/>
    <w:rsid w:val="00712326"/>
    <w:rsid w:val="00714F53"/>
    <w:rsid w:val="007154D4"/>
    <w:rsid w:val="00715B91"/>
    <w:rsid w:val="007203EB"/>
    <w:rsid w:val="00723558"/>
    <w:rsid w:val="007235C0"/>
    <w:rsid w:val="00726C57"/>
    <w:rsid w:val="00726D9F"/>
    <w:rsid w:val="00727837"/>
    <w:rsid w:val="00727C33"/>
    <w:rsid w:val="00727F58"/>
    <w:rsid w:val="00730C43"/>
    <w:rsid w:val="00731B15"/>
    <w:rsid w:val="00735E2C"/>
    <w:rsid w:val="007365C3"/>
    <w:rsid w:val="0074044F"/>
    <w:rsid w:val="007404B8"/>
    <w:rsid w:val="00742E7B"/>
    <w:rsid w:val="007440B0"/>
    <w:rsid w:val="00744D2D"/>
    <w:rsid w:val="00746289"/>
    <w:rsid w:val="00746B46"/>
    <w:rsid w:val="007474B1"/>
    <w:rsid w:val="00747D99"/>
    <w:rsid w:val="007511A6"/>
    <w:rsid w:val="00751F55"/>
    <w:rsid w:val="00754CE6"/>
    <w:rsid w:val="0075687C"/>
    <w:rsid w:val="0075710D"/>
    <w:rsid w:val="0076133A"/>
    <w:rsid w:val="007632DC"/>
    <w:rsid w:val="00764D5B"/>
    <w:rsid w:val="007657D0"/>
    <w:rsid w:val="007703BA"/>
    <w:rsid w:val="007724B1"/>
    <w:rsid w:val="00772878"/>
    <w:rsid w:val="007809C3"/>
    <w:rsid w:val="00780F93"/>
    <w:rsid w:val="00782704"/>
    <w:rsid w:val="0078459D"/>
    <w:rsid w:val="00785398"/>
    <w:rsid w:val="00785CFC"/>
    <w:rsid w:val="007911C1"/>
    <w:rsid w:val="00791AAF"/>
    <w:rsid w:val="00794943"/>
    <w:rsid w:val="007A0688"/>
    <w:rsid w:val="007A090F"/>
    <w:rsid w:val="007A1C02"/>
    <w:rsid w:val="007A1E51"/>
    <w:rsid w:val="007A4FA2"/>
    <w:rsid w:val="007B12A7"/>
    <w:rsid w:val="007B3D3A"/>
    <w:rsid w:val="007B466C"/>
    <w:rsid w:val="007B545E"/>
    <w:rsid w:val="007B5757"/>
    <w:rsid w:val="007B5816"/>
    <w:rsid w:val="007B6235"/>
    <w:rsid w:val="007C01F9"/>
    <w:rsid w:val="007C464C"/>
    <w:rsid w:val="007C5981"/>
    <w:rsid w:val="007C6DF3"/>
    <w:rsid w:val="007D0600"/>
    <w:rsid w:val="007D0808"/>
    <w:rsid w:val="007D33E5"/>
    <w:rsid w:val="007D482F"/>
    <w:rsid w:val="007E13BE"/>
    <w:rsid w:val="007E1E8E"/>
    <w:rsid w:val="007E28A7"/>
    <w:rsid w:val="007E6F73"/>
    <w:rsid w:val="007F185C"/>
    <w:rsid w:val="007F296C"/>
    <w:rsid w:val="007F383D"/>
    <w:rsid w:val="007F617B"/>
    <w:rsid w:val="007F6F5C"/>
    <w:rsid w:val="00800658"/>
    <w:rsid w:val="00801379"/>
    <w:rsid w:val="00806C30"/>
    <w:rsid w:val="00810309"/>
    <w:rsid w:val="008150DA"/>
    <w:rsid w:val="00816776"/>
    <w:rsid w:val="0082041A"/>
    <w:rsid w:val="008228FA"/>
    <w:rsid w:val="00823906"/>
    <w:rsid w:val="008265C1"/>
    <w:rsid w:val="0082774C"/>
    <w:rsid w:val="00830E10"/>
    <w:rsid w:val="00832584"/>
    <w:rsid w:val="0084056D"/>
    <w:rsid w:val="00840DC2"/>
    <w:rsid w:val="0084280E"/>
    <w:rsid w:val="00843C51"/>
    <w:rsid w:val="00844EED"/>
    <w:rsid w:val="00845C63"/>
    <w:rsid w:val="008463A9"/>
    <w:rsid w:val="0085590E"/>
    <w:rsid w:val="00855EF9"/>
    <w:rsid w:val="0085794F"/>
    <w:rsid w:val="008620B4"/>
    <w:rsid w:val="00862C65"/>
    <w:rsid w:val="0086364F"/>
    <w:rsid w:val="00863977"/>
    <w:rsid w:val="008640E2"/>
    <w:rsid w:val="00866EEB"/>
    <w:rsid w:val="00867989"/>
    <w:rsid w:val="00867E26"/>
    <w:rsid w:val="00870F63"/>
    <w:rsid w:val="0087209A"/>
    <w:rsid w:val="00872EA6"/>
    <w:rsid w:val="00874F4B"/>
    <w:rsid w:val="00875791"/>
    <w:rsid w:val="00875AB7"/>
    <w:rsid w:val="008762AC"/>
    <w:rsid w:val="0087646B"/>
    <w:rsid w:val="0087748E"/>
    <w:rsid w:val="00877B5D"/>
    <w:rsid w:val="00881110"/>
    <w:rsid w:val="008836E6"/>
    <w:rsid w:val="00883E76"/>
    <w:rsid w:val="008847A8"/>
    <w:rsid w:val="008864F6"/>
    <w:rsid w:val="0088662B"/>
    <w:rsid w:val="00890130"/>
    <w:rsid w:val="008911CD"/>
    <w:rsid w:val="00896235"/>
    <w:rsid w:val="00897887"/>
    <w:rsid w:val="008A0F72"/>
    <w:rsid w:val="008A1A79"/>
    <w:rsid w:val="008A2CB2"/>
    <w:rsid w:val="008A4931"/>
    <w:rsid w:val="008B0063"/>
    <w:rsid w:val="008B0BB8"/>
    <w:rsid w:val="008B1405"/>
    <w:rsid w:val="008B1486"/>
    <w:rsid w:val="008B1BFA"/>
    <w:rsid w:val="008B1F6D"/>
    <w:rsid w:val="008B2195"/>
    <w:rsid w:val="008B36AF"/>
    <w:rsid w:val="008B3B56"/>
    <w:rsid w:val="008B6F51"/>
    <w:rsid w:val="008C0C3C"/>
    <w:rsid w:val="008C2DA6"/>
    <w:rsid w:val="008C2F38"/>
    <w:rsid w:val="008C362F"/>
    <w:rsid w:val="008C3FF1"/>
    <w:rsid w:val="008C4528"/>
    <w:rsid w:val="008D0F50"/>
    <w:rsid w:val="008D10A4"/>
    <w:rsid w:val="008D3E95"/>
    <w:rsid w:val="008D4589"/>
    <w:rsid w:val="008D473E"/>
    <w:rsid w:val="008D5C26"/>
    <w:rsid w:val="008D664F"/>
    <w:rsid w:val="008D7FCD"/>
    <w:rsid w:val="008E105D"/>
    <w:rsid w:val="008E12FB"/>
    <w:rsid w:val="008E13F9"/>
    <w:rsid w:val="008E1E70"/>
    <w:rsid w:val="008E4D2B"/>
    <w:rsid w:val="008E6AD1"/>
    <w:rsid w:val="008E790B"/>
    <w:rsid w:val="008F035B"/>
    <w:rsid w:val="008F0C38"/>
    <w:rsid w:val="008F221F"/>
    <w:rsid w:val="008F3CD0"/>
    <w:rsid w:val="008F5F7D"/>
    <w:rsid w:val="008F72B5"/>
    <w:rsid w:val="008F7853"/>
    <w:rsid w:val="008F7942"/>
    <w:rsid w:val="009001CF"/>
    <w:rsid w:val="00903A2E"/>
    <w:rsid w:val="0090451F"/>
    <w:rsid w:val="009071CC"/>
    <w:rsid w:val="00910888"/>
    <w:rsid w:val="009145C9"/>
    <w:rsid w:val="00921A63"/>
    <w:rsid w:val="00927F4B"/>
    <w:rsid w:val="00931E03"/>
    <w:rsid w:val="00933C6C"/>
    <w:rsid w:val="00935712"/>
    <w:rsid w:val="0094013C"/>
    <w:rsid w:val="00942892"/>
    <w:rsid w:val="009444C9"/>
    <w:rsid w:val="00945DA2"/>
    <w:rsid w:val="00950D4C"/>
    <w:rsid w:val="009517BF"/>
    <w:rsid w:val="009542B3"/>
    <w:rsid w:val="009579DD"/>
    <w:rsid w:val="00960ED4"/>
    <w:rsid w:val="009614D6"/>
    <w:rsid w:val="00961DB6"/>
    <w:rsid w:val="00962B55"/>
    <w:rsid w:val="00966359"/>
    <w:rsid w:val="00966BDE"/>
    <w:rsid w:val="009670DA"/>
    <w:rsid w:val="00967A43"/>
    <w:rsid w:val="00972C5C"/>
    <w:rsid w:val="00973B19"/>
    <w:rsid w:val="009756E9"/>
    <w:rsid w:val="00977B6C"/>
    <w:rsid w:val="00980861"/>
    <w:rsid w:val="00980D5B"/>
    <w:rsid w:val="00981EEB"/>
    <w:rsid w:val="00982B79"/>
    <w:rsid w:val="0098432D"/>
    <w:rsid w:val="00984F80"/>
    <w:rsid w:val="009861E7"/>
    <w:rsid w:val="009863EA"/>
    <w:rsid w:val="009864FC"/>
    <w:rsid w:val="00991C82"/>
    <w:rsid w:val="009A0EC0"/>
    <w:rsid w:val="009A2F5B"/>
    <w:rsid w:val="009A5AB3"/>
    <w:rsid w:val="009A6E26"/>
    <w:rsid w:val="009A77B9"/>
    <w:rsid w:val="009A7E1A"/>
    <w:rsid w:val="009B21F7"/>
    <w:rsid w:val="009B2767"/>
    <w:rsid w:val="009B4F52"/>
    <w:rsid w:val="009B5B35"/>
    <w:rsid w:val="009B6709"/>
    <w:rsid w:val="009B7446"/>
    <w:rsid w:val="009B7A90"/>
    <w:rsid w:val="009C0E31"/>
    <w:rsid w:val="009C58A8"/>
    <w:rsid w:val="009C6FB7"/>
    <w:rsid w:val="009C7FC6"/>
    <w:rsid w:val="009D51D6"/>
    <w:rsid w:val="009D597A"/>
    <w:rsid w:val="009D61DF"/>
    <w:rsid w:val="009E03E3"/>
    <w:rsid w:val="009E172A"/>
    <w:rsid w:val="009E1901"/>
    <w:rsid w:val="009E30C4"/>
    <w:rsid w:val="009E3B0A"/>
    <w:rsid w:val="009E484A"/>
    <w:rsid w:val="009E4C60"/>
    <w:rsid w:val="009E5F70"/>
    <w:rsid w:val="009E6338"/>
    <w:rsid w:val="009E78F5"/>
    <w:rsid w:val="009F0CE1"/>
    <w:rsid w:val="009F2D36"/>
    <w:rsid w:val="009F37F3"/>
    <w:rsid w:val="00A00D74"/>
    <w:rsid w:val="00A01E03"/>
    <w:rsid w:val="00A03CC6"/>
    <w:rsid w:val="00A051E5"/>
    <w:rsid w:val="00A06C02"/>
    <w:rsid w:val="00A0722B"/>
    <w:rsid w:val="00A078A4"/>
    <w:rsid w:val="00A10A5B"/>
    <w:rsid w:val="00A122F8"/>
    <w:rsid w:val="00A12D01"/>
    <w:rsid w:val="00A141C6"/>
    <w:rsid w:val="00A206CF"/>
    <w:rsid w:val="00A20FC6"/>
    <w:rsid w:val="00A21FD6"/>
    <w:rsid w:val="00A24F27"/>
    <w:rsid w:val="00A25A9D"/>
    <w:rsid w:val="00A25F2E"/>
    <w:rsid w:val="00A27364"/>
    <w:rsid w:val="00A30C09"/>
    <w:rsid w:val="00A31479"/>
    <w:rsid w:val="00A3278E"/>
    <w:rsid w:val="00A34CC2"/>
    <w:rsid w:val="00A359A6"/>
    <w:rsid w:val="00A37D60"/>
    <w:rsid w:val="00A437FE"/>
    <w:rsid w:val="00A45B36"/>
    <w:rsid w:val="00A50219"/>
    <w:rsid w:val="00A50807"/>
    <w:rsid w:val="00A54F7F"/>
    <w:rsid w:val="00A575D4"/>
    <w:rsid w:val="00A600E3"/>
    <w:rsid w:val="00A613A8"/>
    <w:rsid w:val="00A6185A"/>
    <w:rsid w:val="00A63AEF"/>
    <w:rsid w:val="00A65025"/>
    <w:rsid w:val="00A66846"/>
    <w:rsid w:val="00A668AB"/>
    <w:rsid w:val="00A66E91"/>
    <w:rsid w:val="00A701AE"/>
    <w:rsid w:val="00A737D2"/>
    <w:rsid w:val="00A739F8"/>
    <w:rsid w:val="00A755B8"/>
    <w:rsid w:val="00A759F3"/>
    <w:rsid w:val="00A764E4"/>
    <w:rsid w:val="00A80FD3"/>
    <w:rsid w:val="00A82972"/>
    <w:rsid w:val="00A8429B"/>
    <w:rsid w:val="00A92A42"/>
    <w:rsid w:val="00A95D17"/>
    <w:rsid w:val="00A96877"/>
    <w:rsid w:val="00A97112"/>
    <w:rsid w:val="00AA0475"/>
    <w:rsid w:val="00AA0478"/>
    <w:rsid w:val="00AA1334"/>
    <w:rsid w:val="00AA1A48"/>
    <w:rsid w:val="00AA2AC1"/>
    <w:rsid w:val="00AA6517"/>
    <w:rsid w:val="00AB2AA5"/>
    <w:rsid w:val="00AB3373"/>
    <w:rsid w:val="00AB433B"/>
    <w:rsid w:val="00AB4E38"/>
    <w:rsid w:val="00AC1601"/>
    <w:rsid w:val="00AC2DDC"/>
    <w:rsid w:val="00AC43F2"/>
    <w:rsid w:val="00AC4C4F"/>
    <w:rsid w:val="00AC52F0"/>
    <w:rsid w:val="00AC590D"/>
    <w:rsid w:val="00AC7033"/>
    <w:rsid w:val="00AD4F07"/>
    <w:rsid w:val="00AD5CAE"/>
    <w:rsid w:val="00AE4F59"/>
    <w:rsid w:val="00AF6D1E"/>
    <w:rsid w:val="00AF71BE"/>
    <w:rsid w:val="00AF78E6"/>
    <w:rsid w:val="00B01032"/>
    <w:rsid w:val="00B035E5"/>
    <w:rsid w:val="00B03613"/>
    <w:rsid w:val="00B059A4"/>
    <w:rsid w:val="00B074B3"/>
    <w:rsid w:val="00B13E86"/>
    <w:rsid w:val="00B15FD7"/>
    <w:rsid w:val="00B17291"/>
    <w:rsid w:val="00B22262"/>
    <w:rsid w:val="00B24FFB"/>
    <w:rsid w:val="00B25883"/>
    <w:rsid w:val="00B26D65"/>
    <w:rsid w:val="00B27CFC"/>
    <w:rsid w:val="00B31F75"/>
    <w:rsid w:val="00B32735"/>
    <w:rsid w:val="00B353C8"/>
    <w:rsid w:val="00B3554A"/>
    <w:rsid w:val="00B36BC1"/>
    <w:rsid w:val="00B36F13"/>
    <w:rsid w:val="00B40BC9"/>
    <w:rsid w:val="00B43982"/>
    <w:rsid w:val="00B45F72"/>
    <w:rsid w:val="00B47D7F"/>
    <w:rsid w:val="00B529B1"/>
    <w:rsid w:val="00B56485"/>
    <w:rsid w:val="00B56569"/>
    <w:rsid w:val="00B56855"/>
    <w:rsid w:val="00B57C26"/>
    <w:rsid w:val="00B61414"/>
    <w:rsid w:val="00B6359E"/>
    <w:rsid w:val="00B635B8"/>
    <w:rsid w:val="00B636FA"/>
    <w:rsid w:val="00B655A2"/>
    <w:rsid w:val="00B713D3"/>
    <w:rsid w:val="00B73F80"/>
    <w:rsid w:val="00B74B04"/>
    <w:rsid w:val="00B75FF1"/>
    <w:rsid w:val="00B77307"/>
    <w:rsid w:val="00B80259"/>
    <w:rsid w:val="00B813D3"/>
    <w:rsid w:val="00B85D2A"/>
    <w:rsid w:val="00B879EA"/>
    <w:rsid w:val="00B912D1"/>
    <w:rsid w:val="00B94B9D"/>
    <w:rsid w:val="00B94F62"/>
    <w:rsid w:val="00B9681E"/>
    <w:rsid w:val="00B968C4"/>
    <w:rsid w:val="00B97121"/>
    <w:rsid w:val="00B97F6A"/>
    <w:rsid w:val="00B97F74"/>
    <w:rsid w:val="00BA05A9"/>
    <w:rsid w:val="00BA11D9"/>
    <w:rsid w:val="00BA3C69"/>
    <w:rsid w:val="00BA4AF9"/>
    <w:rsid w:val="00BA6FFE"/>
    <w:rsid w:val="00BA74DA"/>
    <w:rsid w:val="00BA7B06"/>
    <w:rsid w:val="00BB5153"/>
    <w:rsid w:val="00BB633D"/>
    <w:rsid w:val="00BB7030"/>
    <w:rsid w:val="00BB708E"/>
    <w:rsid w:val="00BB714C"/>
    <w:rsid w:val="00BB7A55"/>
    <w:rsid w:val="00BB7E34"/>
    <w:rsid w:val="00BC235B"/>
    <w:rsid w:val="00BC49FF"/>
    <w:rsid w:val="00BC5696"/>
    <w:rsid w:val="00BC5D7A"/>
    <w:rsid w:val="00BC68EC"/>
    <w:rsid w:val="00BC7CE2"/>
    <w:rsid w:val="00BD164F"/>
    <w:rsid w:val="00BD1787"/>
    <w:rsid w:val="00BD7E48"/>
    <w:rsid w:val="00BE5708"/>
    <w:rsid w:val="00BF2106"/>
    <w:rsid w:val="00BF35DE"/>
    <w:rsid w:val="00BF3642"/>
    <w:rsid w:val="00BF7358"/>
    <w:rsid w:val="00C00100"/>
    <w:rsid w:val="00C033B7"/>
    <w:rsid w:val="00C04B00"/>
    <w:rsid w:val="00C0529F"/>
    <w:rsid w:val="00C05B60"/>
    <w:rsid w:val="00C116A5"/>
    <w:rsid w:val="00C148C8"/>
    <w:rsid w:val="00C16F2F"/>
    <w:rsid w:val="00C170C5"/>
    <w:rsid w:val="00C1772E"/>
    <w:rsid w:val="00C17CC5"/>
    <w:rsid w:val="00C213D0"/>
    <w:rsid w:val="00C21A94"/>
    <w:rsid w:val="00C2202F"/>
    <w:rsid w:val="00C23F91"/>
    <w:rsid w:val="00C24603"/>
    <w:rsid w:val="00C247E0"/>
    <w:rsid w:val="00C27FC9"/>
    <w:rsid w:val="00C30D2A"/>
    <w:rsid w:val="00C316FC"/>
    <w:rsid w:val="00C31900"/>
    <w:rsid w:val="00C40E78"/>
    <w:rsid w:val="00C418D7"/>
    <w:rsid w:val="00C46298"/>
    <w:rsid w:val="00C47748"/>
    <w:rsid w:val="00C504F2"/>
    <w:rsid w:val="00C50517"/>
    <w:rsid w:val="00C5059B"/>
    <w:rsid w:val="00C546C4"/>
    <w:rsid w:val="00C564AB"/>
    <w:rsid w:val="00C63DDA"/>
    <w:rsid w:val="00C65FA1"/>
    <w:rsid w:val="00C711D4"/>
    <w:rsid w:val="00C7225B"/>
    <w:rsid w:val="00C73D2F"/>
    <w:rsid w:val="00C74C33"/>
    <w:rsid w:val="00C74DBE"/>
    <w:rsid w:val="00C74DD0"/>
    <w:rsid w:val="00C769E1"/>
    <w:rsid w:val="00C775C3"/>
    <w:rsid w:val="00C81088"/>
    <w:rsid w:val="00C82D9E"/>
    <w:rsid w:val="00C90CDF"/>
    <w:rsid w:val="00C91663"/>
    <w:rsid w:val="00C91EDF"/>
    <w:rsid w:val="00C93E87"/>
    <w:rsid w:val="00C95B97"/>
    <w:rsid w:val="00C970A9"/>
    <w:rsid w:val="00CA5187"/>
    <w:rsid w:val="00CA78C1"/>
    <w:rsid w:val="00CB078C"/>
    <w:rsid w:val="00CB28B8"/>
    <w:rsid w:val="00CB4C69"/>
    <w:rsid w:val="00CB60B9"/>
    <w:rsid w:val="00CB6466"/>
    <w:rsid w:val="00CB6A35"/>
    <w:rsid w:val="00CB7461"/>
    <w:rsid w:val="00CC00FE"/>
    <w:rsid w:val="00CC1D59"/>
    <w:rsid w:val="00CC3D22"/>
    <w:rsid w:val="00CC3FA8"/>
    <w:rsid w:val="00CD0417"/>
    <w:rsid w:val="00CD45C0"/>
    <w:rsid w:val="00CE0802"/>
    <w:rsid w:val="00CE0D6C"/>
    <w:rsid w:val="00CE2093"/>
    <w:rsid w:val="00CE2F21"/>
    <w:rsid w:val="00CE3FA1"/>
    <w:rsid w:val="00CE6C3D"/>
    <w:rsid w:val="00CE78F7"/>
    <w:rsid w:val="00CF006F"/>
    <w:rsid w:val="00CF456F"/>
    <w:rsid w:val="00CF7630"/>
    <w:rsid w:val="00D012DB"/>
    <w:rsid w:val="00D020A5"/>
    <w:rsid w:val="00D021C0"/>
    <w:rsid w:val="00D022A0"/>
    <w:rsid w:val="00D02F14"/>
    <w:rsid w:val="00D038A7"/>
    <w:rsid w:val="00D11778"/>
    <w:rsid w:val="00D12576"/>
    <w:rsid w:val="00D135BB"/>
    <w:rsid w:val="00D17725"/>
    <w:rsid w:val="00D17778"/>
    <w:rsid w:val="00D20CF8"/>
    <w:rsid w:val="00D20D4E"/>
    <w:rsid w:val="00D223BF"/>
    <w:rsid w:val="00D24AF7"/>
    <w:rsid w:val="00D2715F"/>
    <w:rsid w:val="00D27224"/>
    <w:rsid w:val="00D30F2C"/>
    <w:rsid w:val="00D31218"/>
    <w:rsid w:val="00D3255E"/>
    <w:rsid w:val="00D32E30"/>
    <w:rsid w:val="00D338F0"/>
    <w:rsid w:val="00D346E2"/>
    <w:rsid w:val="00D34D9A"/>
    <w:rsid w:val="00D3706E"/>
    <w:rsid w:val="00D3711A"/>
    <w:rsid w:val="00D41743"/>
    <w:rsid w:val="00D442EE"/>
    <w:rsid w:val="00D46FAD"/>
    <w:rsid w:val="00D52040"/>
    <w:rsid w:val="00D53CC1"/>
    <w:rsid w:val="00D60062"/>
    <w:rsid w:val="00D60B91"/>
    <w:rsid w:val="00D620CD"/>
    <w:rsid w:val="00D63BFF"/>
    <w:rsid w:val="00D65648"/>
    <w:rsid w:val="00D65BD8"/>
    <w:rsid w:val="00D66C59"/>
    <w:rsid w:val="00D72E15"/>
    <w:rsid w:val="00D73C9A"/>
    <w:rsid w:val="00D75D0E"/>
    <w:rsid w:val="00D76B88"/>
    <w:rsid w:val="00D81C55"/>
    <w:rsid w:val="00D83330"/>
    <w:rsid w:val="00D83CA7"/>
    <w:rsid w:val="00D83DDF"/>
    <w:rsid w:val="00D844E1"/>
    <w:rsid w:val="00D869F3"/>
    <w:rsid w:val="00D90E29"/>
    <w:rsid w:val="00D93989"/>
    <w:rsid w:val="00D94912"/>
    <w:rsid w:val="00D953A1"/>
    <w:rsid w:val="00D96C4F"/>
    <w:rsid w:val="00D9742E"/>
    <w:rsid w:val="00D97635"/>
    <w:rsid w:val="00DA2726"/>
    <w:rsid w:val="00DA2FD7"/>
    <w:rsid w:val="00DA303F"/>
    <w:rsid w:val="00DA33EF"/>
    <w:rsid w:val="00DA3416"/>
    <w:rsid w:val="00DA7378"/>
    <w:rsid w:val="00DA7F2C"/>
    <w:rsid w:val="00DB0461"/>
    <w:rsid w:val="00DB1243"/>
    <w:rsid w:val="00DB3465"/>
    <w:rsid w:val="00DB71F5"/>
    <w:rsid w:val="00DC0B22"/>
    <w:rsid w:val="00DC0E9B"/>
    <w:rsid w:val="00DC0F83"/>
    <w:rsid w:val="00DC1047"/>
    <w:rsid w:val="00DC133B"/>
    <w:rsid w:val="00DC185B"/>
    <w:rsid w:val="00DC1C20"/>
    <w:rsid w:val="00DC2873"/>
    <w:rsid w:val="00DC6E5F"/>
    <w:rsid w:val="00DD1B15"/>
    <w:rsid w:val="00DD1C83"/>
    <w:rsid w:val="00DD4364"/>
    <w:rsid w:val="00DD4FCC"/>
    <w:rsid w:val="00DE0CC9"/>
    <w:rsid w:val="00DE26CD"/>
    <w:rsid w:val="00DE27C0"/>
    <w:rsid w:val="00DE2B11"/>
    <w:rsid w:val="00DE60F7"/>
    <w:rsid w:val="00DE618E"/>
    <w:rsid w:val="00DF37D0"/>
    <w:rsid w:val="00DF3BB1"/>
    <w:rsid w:val="00E00594"/>
    <w:rsid w:val="00E01260"/>
    <w:rsid w:val="00E02E75"/>
    <w:rsid w:val="00E03554"/>
    <w:rsid w:val="00E04C6E"/>
    <w:rsid w:val="00E04DCB"/>
    <w:rsid w:val="00E06416"/>
    <w:rsid w:val="00E0721C"/>
    <w:rsid w:val="00E075B0"/>
    <w:rsid w:val="00E12CB1"/>
    <w:rsid w:val="00E152A7"/>
    <w:rsid w:val="00E16684"/>
    <w:rsid w:val="00E16B10"/>
    <w:rsid w:val="00E1769A"/>
    <w:rsid w:val="00E2111D"/>
    <w:rsid w:val="00E219D0"/>
    <w:rsid w:val="00E21C47"/>
    <w:rsid w:val="00E2396E"/>
    <w:rsid w:val="00E2446A"/>
    <w:rsid w:val="00E24970"/>
    <w:rsid w:val="00E25265"/>
    <w:rsid w:val="00E260C0"/>
    <w:rsid w:val="00E263D0"/>
    <w:rsid w:val="00E267AA"/>
    <w:rsid w:val="00E27D78"/>
    <w:rsid w:val="00E3125D"/>
    <w:rsid w:val="00E34015"/>
    <w:rsid w:val="00E43C6A"/>
    <w:rsid w:val="00E44354"/>
    <w:rsid w:val="00E45109"/>
    <w:rsid w:val="00E46E2F"/>
    <w:rsid w:val="00E5231D"/>
    <w:rsid w:val="00E52D77"/>
    <w:rsid w:val="00E545EE"/>
    <w:rsid w:val="00E60FD9"/>
    <w:rsid w:val="00E61FA5"/>
    <w:rsid w:val="00E629F2"/>
    <w:rsid w:val="00E64C3F"/>
    <w:rsid w:val="00E65CC2"/>
    <w:rsid w:val="00E66BFC"/>
    <w:rsid w:val="00E707ED"/>
    <w:rsid w:val="00E70FC0"/>
    <w:rsid w:val="00E720FB"/>
    <w:rsid w:val="00E746D1"/>
    <w:rsid w:val="00E74C79"/>
    <w:rsid w:val="00E76D60"/>
    <w:rsid w:val="00E801C8"/>
    <w:rsid w:val="00E813D7"/>
    <w:rsid w:val="00E829DB"/>
    <w:rsid w:val="00E85A09"/>
    <w:rsid w:val="00E86D7C"/>
    <w:rsid w:val="00E91101"/>
    <w:rsid w:val="00E9231F"/>
    <w:rsid w:val="00E92F03"/>
    <w:rsid w:val="00E93619"/>
    <w:rsid w:val="00E93794"/>
    <w:rsid w:val="00E9387F"/>
    <w:rsid w:val="00E939CB"/>
    <w:rsid w:val="00E94815"/>
    <w:rsid w:val="00E94AD6"/>
    <w:rsid w:val="00E950B1"/>
    <w:rsid w:val="00EA127D"/>
    <w:rsid w:val="00EA1D0D"/>
    <w:rsid w:val="00EA438A"/>
    <w:rsid w:val="00EA5218"/>
    <w:rsid w:val="00EA56E1"/>
    <w:rsid w:val="00EA6A3B"/>
    <w:rsid w:val="00EA6C65"/>
    <w:rsid w:val="00EA7394"/>
    <w:rsid w:val="00EB27A9"/>
    <w:rsid w:val="00EC0A1C"/>
    <w:rsid w:val="00EC4655"/>
    <w:rsid w:val="00EC54ED"/>
    <w:rsid w:val="00EC736F"/>
    <w:rsid w:val="00EC7CFA"/>
    <w:rsid w:val="00ED12D4"/>
    <w:rsid w:val="00ED1329"/>
    <w:rsid w:val="00ED24B2"/>
    <w:rsid w:val="00ED2FA8"/>
    <w:rsid w:val="00ED3FA8"/>
    <w:rsid w:val="00ED428C"/>
    <w:rsid w:val="00ED4D00"/>
    <w:rsid w:val="00EE5805"/>
    <w:rsid w:val="00EE5B82"/>
    <w:rsid w:val="00EF2DA7"/>
    <w:rsid w:val="00EF40CD"/>
    <w:rsid w:val="00EF41FC"/>
    <w:rsid w:val="00EF476D"/>
    <w:rsid w:val="00EF54E2"/>
    <w:rsid w:val="00EF5F42"/>
    <w:rsid w:val="00F01930"/>
    <w:rsid w:val="00F061CA"/>
    <w:rsid w:val="00F11A73"/>
    <w:rsid w:val="00F13318"/>
    <w:rsid w:val="00F16049"/>
    <w:rsid w:val="00F221E2"/>
    <w:rsid w:val="00F228FD"/>
    <w:rsid w:val="00F22B3B"/>
    <w:rsid w:val="00F25157"/>
    <w:rsid w:val="00F30A77"/>
    <w:rsid w:val="00F32A6E"/>
    <w:rsid w:val="00F3384F"/>
    <w:rsid w:val="00F33FF3"/>
    <w:rsid w:val="00F36098"/>
    <w:rsid w:val="00F40B11"/>
    <w:rsid w:val="00F40B3B"/>
    <w:rsid w:val="00F43AAA"/>
    <w:rsid w:val="00F440ED"/>
    <w:rsid w:val="00F450AB"/>
    <w:rsid w:val="00F4535E"/>
    <w:rsid w:val="00F50079"/>
    <w:rsid w:val="00F5094B"/>
    <w:rsid w:val="00F50BB7"/>
    <w:rsid w:val="00F50FA5"/>
    <w:rsid w:val="00F54432"/>
    <w:rsid w:val="00F54BBB"/>
    <w:rsid w:val="00F54BF3"/>
    <w:rsid w:val="00F55948"/>
    <w:rsid w:val="00F55CEA"/>
    <w:rsid w:val="00F6284A"/>
    <w:rsid w:val="00F6670B"/>
    <w:rsid w:val="00F704A8"/>
    <w:rsid w:val="00F70AB3"/>
    <w:rsid w:val="00F720CF"/>
    <w:rsid w:val="00F76CAE"/>
    <w:rsid w:val="00F76F98"/>
    <w:rsid w:val="00F7722A"/>
    <w:rsid w:val="00F806F1"/>
    <w:rsid w:val="00F80EA0"/>
    <w:rsid w:val="00F857ED"/>
    <w:rsid w:val="00F929C2"/>
    <w:rsid w:val="00F93412"/>
    <w:rsid w:val="00F93493"/>
    <w:rsid w:val="00F935F5"/>
    <w:rsid w:val="00F9407D"/>
    <w:rsid w:val="00F94584"/>
    <w:rsid w:val="00FA0A7D"/>
    <w:rsid w:val="00FA0BC2"/>
    <w:rsid w:val="00FA0E64"/>
    <w:rsid w:val="00FA1428"/>
    <w:rsid w:val="00FA38D9"/>
    <w:rsid w:val="00FA6CF3"/>
    <w:rsid w:val="00FB3996"/>
    <w:rsid w:val="00FB3CBA"/>
    <w:rsid w:val="00FB65D8"/>
    <w:rsid w:val="00FC25D5"/>
    <w:rsid w:val="00FC6E03"/>
    <w:rsid w:val="00FC732B"/>
    <w:rsid w:val="00FD14F7"/>
    <w:rsid w:val="00FD5528"/>
    <w:rsid w:val="00FE126D"/>
    <w:rsid w:val="00FE2457"/>
    <w:rsid w:val="00FE2A50"/>
    <w:rsid w:val="00FE2D4D"/>
    <w:rsid w:val="00FE30FA"/>
    <w:rsid w:val="00FF080C"/>
    <w:rsid w:val="00FF1374"/>
    <w:rsid w:val="00FF1760"/>
    <w:rsid w:val="00FF18E1"/>
    <w:rsid w:val="00FF1D8D"/>
    <w:rsid w:val="00FF1FD2"/>
    <w:rsid w:val="00FF50E4"/>
    <w:rsid w:val="00FF5FA4"/>
    <w:rsid w:val="00FF7781"/>
    <w:rsid w:val="00FF7E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9E99B-EDAC-4F0C-A33A-98E06AB7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val="en-US"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7487">
      <w:bodyDiv w:val="1"/>
      <w:marLeft w:val="0"/>
      <w:marRight w:val="0"/>
      <w:marTop w:val="0"/>
      <w:marBottom w:val="0"/>
      <w:divBdr>
        <w:top w:val="none" w:sz="0" w:space="0" w:color="auto"/>
        <w:left w:val="none" w:sz="0" w:space="0" w:color="auto"/>
        <w:bottom w:val="none" w:sz="0" w:space="0" w:color="auto"/>
        <w:right w:val="none" w:sz="0" w:space="0" w:color="auto"/>
      </w:divBdr>
    </w:div>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133764">
      <w:bodyDiv w:val="1"/>
      <w:marLeft w:val="0"/>
      <w:marRight w:val="0"/>
      <w:marTop w:val="0"/>
      <w:marBottom w:val="0"/>
      <w:divBdr>
        <w:top w:val="none" w:sz="0" w:space="0" w:color="auto"/>
        <w:left w:val="none" w:sz="0" w:space="0" w:color="auto"/>
        <w:bottom w:val="none" w:sz="0" w:space="0" w:color="auto"/>
        <w:right w:val="none" w:sz="0" w:space="0" w:color="auto"/>
      </w:divBdr>
    </w:div>
    <w:div w:id="344599572">
      <w:bodyDiv w:val="1"/>
      <w:marLeft w:val="0"/>
      <w:marRight w:val="0"/>
      <w:marTop w:val="0"/>
      <w:marBottom w:val="0"/>
      <w:divBdr>
        <w:top w:val="none" w:sz="0" w:space="0" w:color="auto"/>
        <w:left w:val="none" w:sz="0" w:space="0" w:color="auto"/>
        <w:bottom w:val="none" w:sz="0" w:space="0" w:color="auto"/>
        <w:right w:val="none" w:sz="0" w:space="0" w:color="auto"/>
      </w:divBdr>
    </w:div>
    <w:div w:id="785348033">
      <w:bodyDiv w:val="1"/>
      <w:marLeft w:val="0"/>
      <w:marRight w:val="0"/>
      <w:marTop w:val="0"/>
      <w:marBottom w:val="0"/>
      <w:divBdr>
        <w:top w:val="none" w:sz="0" w:space="0" w:color="auto"/>
        <w:left w:val="none" w:sz="0" w:space="0" w:color="auto"/>
        <w:bottom w:val="none" w:sz="0" w:space="0" w:color="auto"/>
        <w:right w:val="none" w:sz="0" w:space="0" w:color="auto"/>
      </w:divBdr>
    </w:div>
    <w:div w:id="1162312354">
      <w:bodyDiv w:val="1"/>
      <w:marLeft w:val="0"/>
      <w:marRight w:val="0"/>
      <w:marTop w:val="0"/>
      <w:marBottom w:val="0"/>
      <w:divBdr>
        <w:top w:val="none" w:sz="0" w:space="0" w:color="auto"/>
        <w:left w:val="none" w:sz="0" w:space="0" w:color="auto"/>
        <w:bottom w:val="none" w:sz="0" w:space="0" w:color="auto"/>
        <w:right w:val="none" w:sz="0" w:space="0" w:color="auto"/>
      </w:divBdr>
    </w:div>
    <w:div w:id="2008171971">
      <w:bodyDiv w:val="1"/>
      <w:marLeft w:val="0"/>
      <w:marRight w:val="0"/>
      <w:marTop w:val="0"/>
      <w:marBottom w:val="0"/>
      <w:divBdr>
        <w:top w:val="none" w:sz="0" w:space="0" w:color="auto"/>
        <w:left w:val="none" w:sz="0" w:space="0" w:color="auto"/>
        <w:bottom w:val="none" w:sz="0" w:space="0" w:color="auto"/>
        <w:right w:val="none" w:sz="0" w:space="0" w:color="auto"/>
      </w:divBdr>
    </w:div>
    <w:div w:id="20291348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251700680272108"/>
          <c:y val="0.12264150943396226"/>
          <c:w val="0.608843537414966"/>
          <c:h val="0.58018867924528306"/>
        </c:manualLayout>
      </c:layout>
      <c:barChart>
        <c:barDir val="col"/>
        <c:grouping val="clustered"/>
        <c:varyColors val="0"/>
        <c:ser>
          <c:idx val="0"/>
          <c:order val="0"/>
          <c:tx>
            <c:strRef>
              <c:f>Sheet1!$A$2</c:f>
              <c:strCache>
                <c:ptCount val="1"/>
                <c:pt idx="0">
                  <c:v>cpi</c:v>
                </c:pt>
              </c:strCache>
            </c:strRef>
          </c:tx>
          <c:spPr>
            <a:solidFill>
              <a:srgbClr val="9999FF"/>
            </a:solidFill>
            <a:ln w="12658">
              <a:solidFill>
                <a:srgbClr val="000000"/>
              </a:solidFill>
              <a:prstDash val="solid"/>
            </a:ln>
          </c:spPr>
          <c:invertIfNegative val="0"/>
          <c:dLbls>
            <c:dLbl>
              <c:idx val="1"/>
              <c:spPr>
                <a:noFill/>
                <a:ln w="25316">
                  <a:noFill/>
                </a:ln>
              </c:spPr>
              <c:txPr>
                <a:bodyPr/>
                <a:lstStyle/>
                <a:p>
                  <a:pPr>
                    <a:defRPr sz="922"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E4-4F57-B4DF-49B296EB9D77}"/>
                </c:ext>
              </c:extLst>
            </c:dLbl>
            <c:dLbl>
              <c:idx val="3"/>
              <c:layout>
                <c:manualLayout>
                  <c:xMode val="edge"/>
                  <c:yMode val="edge"/>
                  <c:x val="0.43197278911564624"/>
                  <c:y val="0.86792452830188682"/>
                </c:manualLayout>
              </c:layout>
              <c:spPr>
                <a:noFill/>
                <a:ln w="25316">
                  <a:noFill/>
                </a:ln>
              </c:spPr>
              <c:txPr>
                <a:bodyPr/>
                <a:lstStyle/>
                <a:p>
                  <a:pPr>
                    <a:defRPr sz="922"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E4-4F57-B4DF-49B296EB9D77}"/>
                </c:ext>
              </c:extLst>
            </c:dLbl>
            <c:dLbl>
              <c:idx val="4"/>
              <c:spPr>
                <a:noFill/>
                <a:ln w="25316">
                  <a:noFill/>
                </a:ln>
              </c:spPr>
              <c:txPr>
                <a:bodyPr/>
                <a:lstStyle/>
                <a:p>
                  <a:pPr>
                    <a:defRPr sz="922"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E4-4F57-B4DF-49B296EB9D77}"/>
                </c:ext>
              </c:extLst>
            </c:dLbl>
            <c:dLbl>
              <c:idx val="6"/>
              <c:layout>
                <c:manualLayout>
                  <c:xMode val="edge"/>
                  <c:yMode val="edge"/>
                  <c:x val="0.57823129251700678"/>
                  <c:y val="0.86792452830188682"/>
                </c:manualLayout>
              </c:layout>
              <c:spPr>
                <a:noFill/>
                <a:ln w="25316">
                  <a:noFill/>
                </a:ln>
              </c:spPr>
              <c:txPr>
                <a:bodyPr/>
                <a:lstStyle/>
                <a:p>
                  <a:pPr>
                    <a:defRPr sz="922"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E4-4F57-B4DF-49B296EB9D77}"/>
                </c:ext>
              </c:extLst>
            </c:dLbl>
            <c:dLbl>
              <c:idx val="10"/>
              <c:spPr>
                <a:noFill/>
                <a:ln w="25316">
                  <a:noFill/>
                </a:ln>
              </c:spPr>
              <c:txPr>
                <a:bodyPr/>
                <a:lstStyle/>
                <a:p>
                  <a:pPr>
                    <a:defRPr sz="922"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E4-4F57-B4DF-49B296EB9D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Sheet1!$B$2:$M$2</c:f>
              <c:numCache>
                <c:formatCode>0.00</c:formatCode>
                <c:ptCount val="12"/>
                <c:pt idx="0">
                  <c:v>3.27</c:v>
                </c:pt>
                <c:pt idx="1">
                  <c:v>8.1999999999999993</c:v>
                </c:pt>
                <c:pt idx="2">
                  <c:v>9.1300000000000008</c:v>
                </c:pt>
                <c:pt idx="3">
                  <c:v>-1.91</c:v>
                </c:pt>
                <c:pt idx="4">
                  <c:v>13.71</c:v>
                </c:pt>
                <c:pt idx="5">
                  <c:v>0.83</c:v>
                </c:pt>
                <c:pt idx="6">
                  <c:v>-1.39</c:v>
                </c:pt>
                <c:pt idx="7">
                  <c:v>1.72</c:v>
                </c:pt>
                <c:pt idx="8">
                  <c:v>5.93</c:v>
                </c:pt>
                <c:pt idx="9">
                  <c:v>9.19</c:v>
                </c:pt>
                <c:pt idx="10">
                  <c:v>14.75</c:v>
                </c:pt>
                <c:pt idx="11">
                  <c:v>2.97</c:v>
                </c:pt>
              </c:numCache>
            </c:numRef>
          </c:val>
          <c:extLst>
            <c:ext xmlns:c16="http://schemas.microsoft.com/office/drawing/2014/chart" uri="{C3380CC4-5D6E-409C-BE32-E72D297353CC}">
              <c16:uniqueId val="{00000005-B0E4-4F57-B4DF-49B296EB9D77}"/>
            </c:ext>
          </c:extLst>
        </c:ser>
        <c:dLbls>
          <c:showLegendKey val="0"/>
          <c:showVal val="0"/>
          <c:showCatName val="0"/>
          <c:showSerName val="0"/>
          <c:showPercent val="0"/>
          <c:showBubbleSize val="0"/>
        </c:dLbls>
        <c:gapWidth val="150"/>
        <c:axId val="258209176"/>
        <c:axId val="1"/>
      </c:barChart>
      <c:catAx>
        <c:axId val="258209176"/>
        <c:scaling>
          <c:orientation val="minMax"/>
        </c:scaling>
        <c:delete val="0"/>
        <c:axPos val="b"/>
        <c:numFmt formatCode="General" sourceLinked="1"/>
        <c:majorTickMark val="out"/>
        <c:minorTickMark val="none"/>
        <c:tickLblPos val="nextTo"/>
        <c:spPr>
          <a:ln w="3165">
            <a:solidFill>
              <a:srgbClr val="000000"/>
            </a:solidFill>
            <a:prstDash val="solid"/>
          </a:ln>
        </c:spPr>
        <c:txPr>
          <a:bodyPr rot="3900000" vert="horz"/>
          <a:lstStyle/>
          <a:p>
            <a:pPr>
              <a:defRPr sz="872" b="0" i="0" u="none" strike="noStrike" baseline="0">
                <a:solidFill>
                  <a:srgbClr val="000000"/>
                </a:solidFill>
                <a:latin typeface="Arial"/>
                <a:ea typeface="Arial"/>
                <a:cs typeface="Arial"/>
              </a:defRPr>
            </a:pPr>
            <a:endParaRPr lang="en-US"/>
          </a:p>
        </c:txPr>
        <c:crossAx val="1"/>
        <c:crossesAt val="0"/>
        <c:auto val="1"/>
        <c:lblAlgn val="ctr"/>
        <c:lblOffset val="100"/>
        <c:tickLblSkip val="1"/>
        <c:tickMarkSkip val="1"/>
        <c:noMultiLvlLbl val="0"/>
      </c:catAx>
      <c:valAx>
        <c:axId val="1"/>
        <c:scaling>
          <c:orientation val="minMax"/>
          <c:max val="18"/>
          <c:min val="-3"/>
        </c:scaling>
        <c:delete val="0"/>
        <c:axPos val="l"/>
        <c:title>
          <c:tx>
            <c:rich>
              <a:bodyPr/>
              <a:lstStyle/>
              <a:p>
                <a:pPr>
                  <a:defRPr sz="872" b="0" i="0" u="none" strike="noStrike" baseline="0">
                    <a:solidFill>
                      <a:srgbClr val="000000"/>
                    </a:solidFill>
                    <a:latin typeface="Arial"/>
                    <a:ea typeface="Arial"/>
                    <a:cs typeface="Arial"/>
                  </a:defRPr>
                </a:pPr>
                <a:r>
                  <a:rPr lang="en-GB"/>
                  <a:t>Monthly Percent Change %</a:t>
                </a:r>
              </a:p>
            </c:rich>
          </c:tx>
          <c:layout>
            <c:manualLayout>
              <c:xMode val="edge"/>
              <c:yMode val="edge"/>
              <c:x val="1.7006802721088437E-2"/>
              <c:y val="0.12264150943396226"/>
            </c:manualLayout>
          </c:layout>
          <c:overlay val="0"/>
          <c:spPr>
            <a:noFill/>
            <a:ln w="25316">
              <a:noFill/>
            </a:ln>
          </c:spPr>
        </c:title>
        <c:numFmt formatCode="0.00" sourceLinked="0"/>
        <c:majorTickMark val="out"/>
        <c:minorTickMark val="none"/>
        <c:tickLblPos val="nextTo"/>
        <c:spPr>
          <a:ln w="3165">
            <a:solidFill>
              <a:srgbClr val="000000"/>
            </a:solidFill>
            <a:prstDash val="solid"/>
          </a:ln>
        </c:spPr>
        <c:txPr>
          <a:bodyPr rot="0" vert="horz"/>
          <a:lstStyle/>
          <a:p>
            <a:pPr>
              <a:defRPr sz="872" b="0" i="0" u="none" strike="noStrike" baseline="0">
                <a:solidFill>
                  <a:srgbClr val="000000"/>
                </a:solidFill>
                <a:latin typeface="Arial"/>
                <a:ea typeface="Arial"/>
                <a:cs typeface="Arial"/>
              </a:defRPr>
            </a:pPr>
            <a:endParaRPr lang="en-US"/>
          </a:p>
        </c:txPr>
        <c:crossAx val="258209176"/>
        <c:crosses val="autoZero"/>
        <c:crossBetween val="between"/>
        <c:majorUnit val="3"/>
        <c:minorUnit val="3"/>
      </c:valAx>
      <c:spPr>
        <a:noFill/>
        <a:ln w="25316">
          <a:noFill/>
        </a:ln>
      </c:spPr>
    </c:plotArea>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972"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25925925925924"/>
          <c:y val="0.10550458715596331"/>
          <c:w val="0.72727272727272729"/>
          <c:h val="0.72018348623853212"/>
        </c:manualLayout>
      </c:layout>
      <c:lineChart>
        <c:grouping val="standard"/>
        <c:varyColors val="0"/>
        <c:ser>
          <c:idx val="0"/>
          <c:order val="0"/>
          <c:tx>
            <c:strRef>
              <c:f>Sheet1!$A$2</c:f>
              <c:strCache>
                <c:ptCount val="1"/>
                <c:pt idx="0">
                  <c:v>نسب التغير</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dPt>
            <c:idx val="1"/>
            <c:marker>
              <c:spPr>
                <a:solidFill>
                  <a:srgbClr val="FF6600"/>
                </a:solidFill>
                <a:ln>
                  <a:solidFill>
                    <a:srgbClr val="000080"/>
                  </a:solidFill>
                  <a:prstDash val="solid"/>
                </a:ln>
              </c:spPr>
            </c:marker>
            <c:bubble3D val="0"/>
            <c:spPr>
              <a:ln w="12699">
                <a:solidFill>
                  <a:srgbClr val="000080"/>
                </a:solidFill>
                <a:prstDash val="solid"/>
              </a:ln>
            </c:spPr>
            <c:extLst>
              <c:ext xmlns:c16="http://schemas.microsoft.com/office/drawing/2014/chart" uri="{C3380CC4-5D6E-409C-BE32-E72D297353CC}">
                <c16:uniqueId val="{00000005-6819-48BB-AF80-3B19DB561D13}"/>
              </c:ext>
            </c:extLst>
          </c:dPt>
          <c:dPt>
            <c:idx val="16"/>
            <c:marker>
              <c:spPr>
                <a:solidFill>
                  <a:srgbClr val="FF6600"/>
                </a:solidFill>
                <a:ln>
                  <a:solidFill>
                    <a:srgbClr val="000080"/>
                  </a:solidFill>
                  <a:prstDash val="solid"/>
                </a:ln>
              </c:spPr>
            </c:marker>
            <c:bubble3D val="0"/>
            <c:spPr>
              <a:ln w="12699">
                <a:solidFill>
                  <a:srgbClr val="000080"/>
                </a:solidFill>
                <a:prstDash val="solid"/>
              </a:ln>
            </c:spPr>
            <c:extLst>
              <c:ext xmlns:c16="http://schemas.microsoft.com/office/drawing/2014/chart" uri="{C3380CC4-5D6E-409C-BE32-E72D297353CC}">
                <c16:uniqueId val="{00000003-6819-48BB-AF80-3B19DB561D13}"/>
              </c:ext>
            </c:extLst>
          </c:dPt>
          <c:dPt>
            <c:idx val="17"/>
            <c:marker>
              <c:spPr>
                <a:solidFill>
                  <a:srgbClr val="FF6600"/>
                </a:solidFill>
                <a:ln>
                  <a:solidFill>
                    <a:srgbClr val="000080"/>
                  </a:solidFill>
                  <a:prstDash val="solid"/>
                </a:ln>
              </c:spPr>
            </c:marker>
            <c:bubble3D val="0"/>
            <c:spPr>
              <a:ln w="12699">
                <a:solidFill>
                  <a:srgbClr val="000080"/>
                </a:solidFill>
                <a:prstDash val="solid"/>
              </a:ln>
            </c:spPr>
            <c:extLst>
              <c:ext xmlns:c16="http://schemas.microsoft.com/office/drawing/2014/chart" uri="{C3380CC4-5D6E-409C-BE32-E72D297353CC}">
                <c16:uniqueId val="{00000001-6819-48BB-AF80-3B19DB561D13}"/>
              </c:ext>
            </c:extLst>
          </c:dPt>
          <c:dLbls>
            <c:dLbl>
              <c:idx val="1"/>
              <c:layout>
                <c:manualLayout>
                  <c:xMode val="edge"/>
                  <c:yMode val="edge"/>
                  <c:x val="0.28956228956228958"/>
                  <c:y val="0.48623853211009177"/>
                </c:manualLayout>
              </c:layout>
              <c:spPr>
                <a:noFill/>
                <a:ln w="25399">
                  <a:noFill/>
                </a:ln>
              </c:spPr>
              <c:txPr>
                <a:bodyPr/>
                <a:lstStyle/>
                <a:p>
                  <a:pPr>
                    <a:defRPr sz="9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19-48BB-AF80-3B19DB561D13}"/>
                </c:ext>
              </c:extLst>
            </c:dLbl>
            <c:dLbl>
              <c:idx val="16"/>
              <c:layout>
                <c:manualLayout>
                  <c:xMode val="edge"/>
                  <c:yMode val="edge"/>
                  <c:x val="0.84848484848484851"/>
                  <c:y val="0.54128440366972475"/>
                </c:manualLayout>
              </c:layout>
              <c:spPr>
                <a:noFill/>
                <a:ln w="25399">
                  <a:noFill/>
                </a:ln>
              </c:spPr>
              <c:txPr>
                <a:bodyPr/>
                <a:lstStyle/>
                <a:p>
                  <a:pPr>
                    <a:defRPr sz="9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19-48BB-AF80-3B19DB561D13}"/>
                </c:ext>
              </c:extLst>
            </c:dLbl>
            <c:dLbl>
              <c:idx val="17"/>
              <c:layout>
                <c:manualLayout>
                  <c:xMode val="edge"/>
                  <c:yMode val="edge"/>
                  <c:x val="0.86531986531986527"/>
                  <c:y val="4.5871559633027525E-2"/>
                </c:manualLayout>
              </c:layout>
              <c:spPr>
                <a:noFill/>
                <a:ln w="25399">
                  <a:noFill/>
                </a:ln>
              </c:spPr>
              <c:txPr>
                <a:bodyPr/>
                <a:lstStyle/>
                <a:p>
                  <a:pPr>
                    <a:defRPr sz="900"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19-48BB-AF80-3B19DB561D1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Sheet1!$B$1:$S$1</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Sheet1!$B$2:$S$2</c:f>
              <c:numCache>
                <c:formatCode>0.00%</c:formatCode>
                <c:ptCount val="18"/>
                <c:pt idx="0">
                  <c:v>1.8599999999999998E-2</c:v>
                </c:pt>
                <c:pt idx="1">
                  <c:v>9.8900000000000002E-2</c:v>
                </c:pt>
                <c:pt idx="2">
                  <c:v>2.75E-2</c:v>
                </c:pt>
                <c:pt idx="3">
                  <c:v>3.7499999999999999E-2</c:v>
                </c:pt>
                <c:pt idx="4">
                  <c:v>2.8799999999999999E-2</c:v>
                </c:pt>
                <c:pt idx="5">
                  <c:v>2.7799999999999998E-2</c:v>
                </c:pt>
                <c:pt idx="6">
                  <c:v>1.72E-2</c:v>
                </c:pt>
                <c:pt idx="7">
                  <c:v>1.7299999999999999E-2</c:v>
                </c:pt>
                <c:pt idx="8">
                  <c:v>1.43E-2</c:v>
                </c:pt>
                <c:pt idx="9">
                  <c:v>-2.2000000000000001E-3</c:v>
                </c:pt>
                <c:pt idx="10">
                  <c:v>2.0999999999999999E-3</c:v>
                </c:pt>
                <c:pt idx="11">
                  <c:v>-1.9E-3</c:v>
                </c:pt>
                <c:pt idx="12">
                  <c:v>1.5800000000000002E-2</c:v>
                </c:pt>
                <c:pt idx="13">
                  <c:v>-7.3000000000000001E-3</c:v>
                </c:pt>
                <c:pt idx="14">
                  <c:v>1.24E-2</c:v>
                </c:pt>
                <c:pt idx="15">
                  <c:v>3.7400000000000003E-2</c:v>
                </c:pt>
                <c:pt idx="16">
                  <c:v>5.8700000000000002E-2</c:v>
                </c:pt>
                <c:pt idx="17">
                  <c:v>0.53669999999999995</c:v>
                </c:pt>
              </c:numCache>
            </c:numRef>
          </c:val>
          <c:smooth val="0"/>
          <c:extLst>
            <c:ext xmlns:c16="http://schemas.microsoft.com/office/drawing/2014/chart" uri="{C3380CC4-5D6E-409C-BE32-E72D297353CC}">
              <c16:uniqueId val="{00000006-6819-48BB-AF80-3B19DB561D13}"/>
            </c:ext>
          </c:extLst>
        </c:ser>
        <c:dLbls>
          <c:showLegendKey val="0"/>
          <c:showVal val="0"/>
          <c:showCatName val="0"/>
          <c:showSerName val="0"/>
          <c:showPercent val="0"/>
          <c:showBubbleSize val="0"/>
        </c:dLbls>
        <c:marker val="1"/>
        <c:smooth val="0"/>
        <c:axId val="256899840"/>
        <c:axId val="1"/>
      </c:lineChart>
      <c:catAx>
        <c:axId val="25689984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500"/>
        <c:tickLblSkip val="1"/>
        <c:tickMarkSkip val="2"/>
        <c:noMultiLvlLbl val="0"/>
      </c:catAx>
      <c:valAx>
        <c:axId val="1"/>
        <c:scaling>
          <c:orientation val="minMax"/>
        </c:scaling>
        <c:delete val="0"/>
        <c:axPos val="l"/>
        <c:title>
          <c:tx>
            <c:rich>
              <a:bodyPr/>
              <a:lstStyle/>
              <a:p>
                <a:pPr>
                  <a:defRPr sz="1000" b="0" i="0" u="none" strike="noStrike" baseline="0">
                    <a:solidFill>
                      <a:srgbClr val="000000"/>
                    </a:solidFill>
                    <a:latin typeface="Arial"/>
                    <a:ea typeface="Arial"/>
                    <a:cs typeface="Arial"/>
                  </a:defRPr>
                </a:pPr>
                <a:r>
                  <a:rPr lang="en-GB"/>
                  <a:t>Yearly Percent Change %</a:t>
                </a:r>
              </a:p>
            </c:rich>
          </c:tx>
          <c:layout>
            <c:manualLayout>
              <c:xMode val="edge"/>
              <c:yMode val="edge"/>
              <c:x val="3.3670033670033669E-3"/>
              <c:y val="0.15137614678899083"/>
            </c:manualLayout>
          </c:layout>
          <c:overlay val="0"/>
          <c:spPr>
            <a:noFill/>
            <a:ln w="25399">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56899840"/>
        <c:crosses val="autoZero"/>
        <c:crossBetween val="between"/>
      </c:valAx>
      <c:spPr>
        <a:noFill/>
        <a:ln w="25399">
          <a:noFill/>
        </a:ln>
      </c:spPr>
    </c:plotArea>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85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7BDF-A144-45BB-93DC-E62B1C77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Mohammed Hodali</cp:lastModifiedBy>
  <cp:revision>2</cp:revision>
  <cp:lastPrinted>2025-01-09T06:49:00Z</cp:lastPrinted>
  <dcterms:created xsi:type="dcterms:W3CDTF">2025-01-14T07:21:00Z</dcterms:created>
  <dcterms:modified xsi:type="dcterms:W3CDTF">2025-01-14T07:21:00Z</dcterms:modified>
</cp:coreProperties>
</file>