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CC" w:rsidRPr="006D05D2" w:rsidRDefault="008A63CC" w:rsidP="008A63CC">
      <w:pPr>
        <w:bidi w:val="0"/>
        <w:spacing w:line="276" w:lineRule="auto"/>
        <w:jc w:val="center"/>
        <w:rPr>
          <w:rFonts w:ascii="Arial" w:hAnsi="Arial" w:cs="Arial"/>
          <w:b/>
          <w:bCs/>
          <w:sz w:val="20"/>
          <w:szCs w:val="20"/>
          <w:lang w:eastAsia="en-US"/>
        </w:rPr>
      </w:pPr>
      <w:bookmarkStart w:id="0" w:name="_GoBack"/>
      <w:bookmarkEnd w:id="0"/>
      <w:r w:rsidRPr="006D05D2">
        <w:rPr>
          <w:rFonts w:ascii="Arial" w:hAnsi="Arial" w:cs="Arial"/>
          <w:b/>
          <w:bCs/>
          <w:sz w:val="20"/>
          <w:szCs w:val="20"/>
        </w:rPr>
        <w:t xml:space="preserve">Palestinian Central Bureau of Statistics (PCBS) </w:t>
      </w:r>
    </w:p>
    <w:p w:rsidR="008A63CC" w:rsidRPr="006D05D2" w:rsidRDefault="008A63CC" w:rsidP="00636553">
      <w:pPr>
        <w:spacing w:line="276" w:lineRule="auto"/>
        <w:jc w:val="center"/>
        <w:outlineLvl w:val="0"/>
        <w:rPr>
          <w:rFonts w:ascii="Arial" w:hAnsi="Arial" w:cs="Arial"/>
          <w:b/>
          <w:bCs/>
          <w:sz w:val="20"/>
          <w:szCs w:val="20"/>
          <w:rtl/>
        </w:rPr>
      </w:pPr>
    </w:p>
    <w:p w:rsidR="008A63CC" w:rsidRPr="006D05D2" w:rsidRDefault="008A63CC" w:rsidP="00636553">
      <w:pPr>
        <w:spacing w:line="276" w:lineRule="auto"/>
        <w:jc w:val="center"/>
        <w:outlineLvl w:val="0"/>
        <w:rPr>
          <w:rFonts w:ascii="Arial" w:hAnsi="Arial" w:cs="Arial"/>
          <w:b/>
          <w:bCs/>
          <w:sz w:val="20"/>
          <w:szCs w:val="20"/>
          <w:rtl/>
        </w:rPr>
      </w:pPr>
    </w:p>
    <w:p w:rsidR="00636553" w:rsidRPr="006D05D2" w:rsidRDefault="00636553" w:rsidP="008A63CC">
      <w:pPr>
        <w:spacing w:line="276" w:lineRule="auto"/>
        <w:jc w:val="center"/>
        <w:outlineLvl w:val="0"/>
        <w:rPr>
          <w:rFonts w:ascii="Arial" w:hAnsi="Arial" w:cs="Arial"/>
          <w:b/>
          <w:bCs/>
          <w:sz w:val="20"/>
          <w:szCs w:val="20"/>
        </w:rPr>
      </w:pPr>
      <w:r w:rsidRPr="006D05D2">
        <w:rPr>
          <w:rFonts w:ascii="Arial" w:hAnsi="Arial" w:cs="Arial"/>
          <w:b/>
          <w:bCs/>
          <w:sz w:val="20"/>
          <w:szCs w:val="20"/>
        </w:rPr>
        <w:t>Palestinian</w:t>
      </w:r>
      <w:r w:rsidRPr="006D05D2">
        <w:rPr>
          <w:rFonts w:ascii="Arial" w:hAnsi="Arial" w:cs="Arial"/>
          <w:b/>
          <w:bCs/>
          <w:kern w:val="36"/>
          <w:sz w:val="20"/>
          <w:szCs w:val="20"/>
        </w:rPr>
        <w:t xml:space="preserve"> </w:t>
      </w:r>
      <w:r w:rsidRPr="006D05D2">
        <w:rPr>
          <w:rFonts w:ascii="Arial" w:hAnsi="Arial" w:cs="Arial"/>
          <w:b/>
          <w:bCs/>
          <w:sz w:val="20"/>
          <w:szCs w:val="20"/>
        </w:rPr>
        <w:t>Producer Price Index</w:t>
      </w:r>
      <w:r w:rsidR="008A63CC" w:rsidRPr="006D05D2">
        <w:rPr>
          <w:rFonts w:ascii="Arial" w:hAnsi="Arial" w:cs="Arial"/>
          <w:b/>
          <w:bCs/>
          <w:sz w:val="20"/>
          <w:szCs w:val="20"/>
        </w:rPr>
        <w:t xml:space="preserve">, during </w:t>
      </w:r>
      <w:proofErr w:type="gramStart"/>
      <w:r w:rsidR="008A63CC" w:rsidRPr="006D05D2">
        <w:rPr>
          <w:rFonts w:ascii="Arial" w:hAnsi="Arial" w:cs="Arial"/>
          <w:b/>
          <w:bCs/>
          <w:sz w:val="20"/>
          <w:szCs w:val="20"/>
        </w:rPr>
        <w:t>January,</w:t>
      </w:r>
      <w:proofErr w:type="gramEnd"/>
      <w:r w:rsidR="008A63CC" w:rsidRPr="006D05D2">
        <w:rPr>
          <w:rFonts w:ascii="Arial" w:hAnsi="Arial" w:cs="Arial"/>
          <w:b/>
          <w:bCs/>
          <w:sz w:val="20"/>
          <w:szCs w:val="20"/>
        </w:rPr>
        <w:t xml:space="preserve"> 01/2025</w:t>
      </w:r>
    </w:p>
    <w:p w:rsidR="008A63CC" w:rsidRPr="006D05D2" w:rsidRDefault="008A63CC" w:rsidP="00636553">
      <w:pPr>
        <w:spacing w:line="276" w:lineRule="auto"/>
        <w:jc w:val="center"/>
        <w:outlineLvl w:val="0"/>
        <w:rPr>
          <w:rFonts w:ascii="Arial" w:hAnsi="Arial" w:cs="Arial"/>
          <w:b/>
          <w:bCs/>
          <w:kern w:val="36"/>
          <w:sz w:val="20"/>
          <w:szCs w:val="20"/>
          <w:rtl/>
        </w:rPr>
      </w:pPr>
    </w:p>
    <w:p w:rsidR="000B4AFF" w:rsidRPr="006D05D2" w:rsidRDefault="00072132" w:rsidP="00E03AC2">
      <w:pPr>
        <w:bidi w:val="0"/>
        <w:jc w:val="both"/>
        <w:outlineLvl w:val="1"/>
        <w:rPr>
          <w:rFonts w:ascii="Arial" w:hAnsi="Arial" w:cs="Arial"/>
          <w:b/>
          <w:bCs/>
          <w:sz w:val="20"/>
          <w:szCs w:val="20"/>
        </w:rPr>
      </w:pPr>
      <w:r w:rsidRPr="006D05D2">
        <w:rPr>
          <w:rFonts w:ascii="Arial" w:hAnsi="Arial" w:cs="Arial"/>
          <w:b/>
          <w:bCs/>
          <w:sz w:val="20"/>
          <w:szCs w:val="20"/>
        </w:rPr>
        <w:t>Sharp Decrease in the Producer</w:t>
      </w:r>
      <w:r w:rsidR="000B4AFF" w:rsidRPr="006D05D2">
        <w:rPr>
          <w:rFonts w:ascii="Arial" w:hAnsi="Arial" w:cs="Arial"/>
          <w:b/>
          <w:bCs/>
          <w:sz w:val="20"/>
          <w:szCs w:val="20"/>
        </w:rPr>
        <w:t xml:space="preserve"> Price</w:t>
      </w:r>
      <w:r w:rsidR="000B4AFF" w:rsidRPr="006D05D2">
        <w:rPr>
          <w:rStyle w:val="FootnoteReference"/>
          <w:rFonts w:ascii="Arial" w:hAnsi="Arial" w:cs="Arial"/>
          <w:b/>
          <w:bCs/>
          <w:sz w:val="20"/>
          <w:szCs w:val="20"/>
        </w:rPr>
        <w:footnoteReference w:id="1"/>
      </w:r>
      <w:r w:rsidR="000B4AFF" w:rsidRPr="006D05D2">
        <w:rPr>
          <w:rFonts w:ascii="Arial" w:hAnsi="Arial" w:cs="Arial"/>
          <w:b/>
          <w:bCs/>
          <w:sz w:val="20"/>
          <w:szCs w:val="20"/>
        </w:rPr>
        <w:t xml:space="preserve"> </w:t>
      </w:r>
      <w:r w:rsidRPr="006D05D2">
        <w:rPr>
          <w:rFonts w:ascii="Arial" w:hAnsi="Arial" w:cs="Arial"/>
          <w:b/>
          <w:bCs/>
          <w:sz w:val="20"/>
          <w:szCs w:val="20"/>
        </w:rPr>
        <w:t xml:space="preserve">Index (PPI) during </w:t>
      </w:r>
      <w:r w:rsidR="00E03AC2" w:rsidRPr="006D05D2">
        <w:rPr>
          <w:rFonts w:ascii="Arial" w:hAnsi="Arial" w:cs="Arial"/>
          <w:b/>
          <w:bCs/>
          <w:sz w:val="20"/>
          <w:szCs w:val="20"/>
        </w:rPr>
        <w:t>January</w:t>
      </w:r>
      <w:r w:rsidRPr="006D05D2">
        <w:rPr>
          <w:rFonts w:ascii="Arial" w:hAnsi="Arial" w:cs="Arial"/>
          <w:b/>
          <w:bCs/>
          <w:sz w:val="20"/>
          <w:szCs w:val="20"/>
        </w:rPr>
        <w:t xml:space="preserve"> </w:t>
      </w:r>
      <w:r w:rsidR="00E03AC2" w:rsidRPr="006D05D2">
        <w:rPr>
          <w:rFonts w:ascii="Arial" w:hAnsi="Arial" w:cs="Arial"/>
          <w:b/>
          <w:bCs/>
          <w:sz w:val="20"/>
          <w:szCs w:val="20"/>
        </w:rPr>
        <w:t>2025</w:t>
      </w:r>
    </w:p>
    <w:p w:rsidR="007E3F35" w:rsidRPr="006D05D2" w:rsidRDefault="007E3F35" w:rsidP="00F92447">
      <w:pPr>
        <w:bidi w:val="0"/>
        <w:jc w:val="both"/>
        <w:outlineLvl w:val="1"/>
        <w:rPr>
          <w:rFonts w:ascii="Arial" w:hAnsi="Arial" w:cs="Arial"/>
          <w:b/>
          <w:bCs/>
          <w:sz w:val="20"/>
          <w:szCs w:val="20"/>
        </w:rPr>
      </w:pPr>
    </w:p>
    <w:p w:rsidR="00EA74CA" w:rsidRPr="006D05D2" w:rsidRDefault="00EA74CA" w:rsidP="00E03AC2">
      <w:pPr>
        <w:pStyle w:val="BodyText2"/>
        <w:bidi w:val="0"/>
        <w:spacing w:after="0" w:line="240" w:lineRule="auto"/>
        <w:jc w:val="both"/>
        <w:rPr>
          <w:rFonts w:ascii="Arial" w:hAnsi="Arial" w:cs="Arial"/>
          <w:sz w:val="20"/>
          <w:szCs w:val="20"/>
        </w:rPr>
      </w:pPr>
      <w:r w:rsidRPr="006D05D2">
        <w:rPr>
          <w:rFonts w:ascii="Arial" w:hAnsi="Arial" w:cs="Arial"/>
          <w:sz w:val="20"/>
          <w:szCs w:val="20"/>
        </w:rPr>
        <w:t xml:space="preserve">The overall Producer Price Index (PPI) for Palestine with its base year (2019 = 100) reached </w:t>
      </w:r>
      <w:r w:rsidR="00E03AC2" w:rsidRPr="006D05D2">
        <w:rPr>
          <w:rFonts w:ascii="Arial" w:hAnsi="Arial" w:cs="Arial"/>
          <w:sz w:val="20"/>
          <w:szCs w:val="20"/>
        </w:rPr>
        <w:t>157</w:t>
      </w:r>
      <w:r w:rsidR="004547F6" w:rsidRPr="006D05D2">
        <w:rPr>
          <w:rFonts w:ascii="Arial" w:hAnsi="Arial" w:cs="Arial"/>
          <w:sz w:val="20"/>
          <w:szCs w:val="20"/>
        </w:rPr>
        <w:t>.</w:t>
      </w:r>
      <w:r w:rsidR="00E03AC2" w:rsidRPr="006D05D2">
        <w:rPr>
          <w:rFonts w:ascii="Arial" w:hAnsi="Arial" w:cs="Arial"/>
          <w:sz w:val="20"/>
          <w:szCs w:val="20"/>
        </w:rPr>
        <w:t>92</w:t>
      </w:r>
      <w:r w:rsidRPr="006D05D2">
        <w:rPr>
          <w:rFonts w:ascii="Arial" w:hAnsi="Arial" w:cs="Arial"/>
          <w:sz w:val="20"/>
          <w:szCs w:val="20"/>
        </w:rPr>
        <w:t xml:space="preserve"> in </w:t>
      </w:r>
      <w:r w:rsidR="00E03AC2" w:rsidRPr="006D05D2">
        <w:rPr>
          <w:rFonts w:ascii="Arial" w:hAnsi="Arial" w:cs="Arial"/>
          <w:sz w:val="20"/>
          <w:szCs w:val="20"/>
        </w:rPr>
        <w:t>January</w:t>
      </w:r>
      <w:r w:rsidRPr="006D05D2">
        <w:rPr>
          <w:rFonts w:ascii="Arial" w:hAnsi="Arial" w:cs="Arial"/>
          <w:sz w:val="20"/>
          <w:szCs w:val="20"/>
        </w:rPr>
        <w:t xml:space="preserve"> </w:t>
      </w:r>
      <w:r w:rsidR="00E03AC2" w:rsidRPr="006D05D2">
        <w:rPr>
          <w:rFonts w:ascii="Arial" w:hAnsi="Arial" w:cs="Arial"/>
          <w:sz w:val="20"/>
          <w:szCs w:val="20"/>
        </w:rPr>
        <w:t>2025</w:t>
      </w:r>
      <w:r w:rsidRPr="006D05D2">
        <w:rPr>
          <w:rFonts w:ascii="Arial" w:hAnsi="Arial" w:cs="Arial"/>
          <w:sz w:val="20"/>
          <w:szCs w:val="20"/>
        </w:rPr>
        <w:t xml:space="preserve">, as it </w:t>
      </w:r>
      <w:r w:rsidR="00D1192D" w:rsidRPr="006D05D2">
        <w:rPr>
          <w:rFonts w:ascii="Arial" w:hAnsi="Arial" w:cs="Arial"/>
          <w:sz w:val="20"/>
          <w:szCs w:val="20"/>
        </w:rPr>
        <w:t>de</w:t>
      </w:r>
      <w:r w:rsidR="006E7164" w:rsidRPr="006D05D2">
        <w:rPr>
          <w:rFonts w:ascii="Arial" w:hAnsi="Arial" w:cs="Arial"/>
          <w:sz w:val="20"/>
          <w:szCs w:val="20"/>
        </w:rPr>
        <w:t>creased</w:t>
      </w:r>
      <w:r w:rsidR="00F163FD" w:rsidRPr="006D05D2">
        <w:rPr>
          <w:rFonts w:ascii="Arial" w:hAnsi="Arial" w:cs="Arial"/>
          <w:sz w:val="20"/>
          <w:szCs w:val="20"/>
        </w:rPr>
        <w:t xml:space="preserve"> </w:t>
      </w:r>
      <w:r w:rsidRPr="006D05D2">
        <w:rPr>
          <w:rFonts w:ascii="Arial" w:hAnsi="Arial" w:cs="Arial"/>
          <w:sz w:val="20"/>
          <w:szCs w:val="20"/>
        </w:rPr>
        <w:t xml:space="preserve">by </w:t>
      </w:r>
      <w:r w:rsidR="00E03AC2" w:rsidRPr="006D05D2">
        <w:rPr>
          <w:rFonts w:ascii="Arial" w:hAnsi="Arial" w:cs="Arial"/>
          <w:sz w:val="20"/>
          <w:szCs w:val="20"/>
        </w:rPr>
        <w:t>4</w:t>
      </w:r>
      <w:r w:rsidR="007D32FE" w:rsidRPr="006D05D2">
        <w:rPr>
          <w:rFonts w:ascii="Arial" w:hAnsi="Arial" w:cs="Arial"/>
          <w:sz w:val="20"/>
          <w:szCs w:val="20"/>
        </w:rPr>
        <w:t>.</w:t>
      </w:r>
      <w:r w:rsidR="00E03AC2" w:rsidRPr="006D05D2">
        <w:rPr>
          <w:rFonts w:ascii="Arial" w:hAnsi="Arial" w:cs="Arial"/>
          <w:sz w:val="20"/>
          <w:szCs w:val="20"/>
        </w:rPr>
        <w:t>79</w:t>
      </w:r>
      <w:r w:rsidRPr="006D05D2">
        <w:rPr>
          <w:rFonts w:ascii="Arial" w:hAnsi="Arial" w:cs="Arial"/>
          <w:sz w:val="20"/>
          <w:szCs w:val="20"/>
        </w:rPr>
        <w:t xml:space="preserve">% compared to </w:t>
      </w:r>
      <w:r w:rsidR="00E03AC2" w:rsidRPr="006D05D2">
        <w:rPr>
          <w:rFonts w:ascii="Arial" w:hAnsi="Arial" w:cs="Arial"/>
          <w:sz w:val="20"/>
          <w:szCs w:val="20"/>
        </w:rPr>
        <w:t>December</w:t>
      </w:r>
      <w:r w:rsidR="00D1192D" w:rsidRPr="006D05D2">
        <w:rPr>
          <w:rFonts w:ascii="Arial" w:hAnsi="Arial" w:cs="Arial"/>
          <w:sz w:val="20"/>
          <w:szCs w:val="20"/>
        </w:rPr>
        <w:t xml:space="preserve"> </w:t>
      </w:r>
      <w:r w:rsidR="00BF4670" w:rsidRPr="006D05D2">
        <w:rPr>
          <w:rFonts w:ascii="Arial" w:hAnsi="Arial" w:cs="Arial"/>
          <w:sz w:val="20"/>
          <w:szCs w:val="20"/>
        </w:rPr>
        <w:t>2024</w:t>
      </w:r>
      <w:r w:rsidRPr="006D05D2">
        <w:rPr>
          <w:rFonts w:ascii="Arial" w:hAnsi="Arial" w:cs="Arial"/>
          <w:sz w:val="20"/>
          <w:szCs w:val="20"/>
        </w:rPr>
        <w:t>.</w:t>
      </w:r>
    </w:p>
    <w:p w:rsidR="00EA74CA" w:rsidRPr="006D05D2" w:rsidRDefault="00EA74CA" w:rsidP="00EA74CA">
      <w:pPr>
        <w:pStyle w:val="BodyText2"/>
        <w:bidi w:val="0"/>
        <w:spacing w:after="0" w:line="240" w:lineRule="auto"/>
        <w:jc w:val="both"/>
        <w:rPr>
          <w:rFonts w:ascii="Arial" w:hAnsi="Arial" w:cs="Arial"/>
          <w:b/>
          <w:bCs/>
          <w:sz w:val="20"/>
          <w:szCs w:val="20"/>
        </w:rPr>
      </w:pPr>
    </w:p>
    <w:p w:rsidR="00D1192D" w:rsidRPr="006D05D2" w:rsidRDefault="00D1192D" w:rsidP="00E03AC2">
      <w:pPr>
        <w:pStyle w:val="BodyText2"/>
        <w:bidi w:val="0"/>
        <w:spacing w:after="0" w:line="240" w:lineRule="auto"/>
        <w:jc w:val="both"/>
        <w:rPr>
          <w:rFonts w:ascii="Arial" w:hAnsi="Arial" w:cs="Arial"/>
          <w:b/>
          <w:bCs/>
          <w:sz w:val="20"/>
          <w:szCs w:val="20"/>
        </w:rPr>
      </w:pPr>
      <w:r w:rsidRPr="006D05D2">
        <w:rPr>
          <w:rFonts w:ascii="Arial" w:hAnsi="Arial" w:cs="Arial"/>
          <w:b/>
          <w:bCs/>
          <w:sz w:val="20"/>
          <w:szCs w:val="20"/>
        </w:rPr>
        <w:t xml:space="preserve">PPI for locally consumed products during </w:t>
      </w:r>
      <w:r w:rsidR="00E03AC2" w:rsidRPr="006D05D2">
        <w:rPr>
          <w:rFonts w:ascii="Arial" w:hAnsi="Arial" w:cs="Arial"/>
          <w:b/>
          <w:bCs/>
          <w:sz w:val="20"/>
          <w:szCs w:val="20"/>
        </w:rPr>
        <w:t>January 2025</w:t>
      </w:r>
    </w:p>
    <w:p w:rsidR="00D1192D" w:rsidRPr="006D05D2" w:rsidRDefault="00D1192D" w:rsidP="00E03AC2">
      <w:pPr>
        <w:pStyle w:val="BodyText2"/>
        <w:bidi w:val="0"/>
        <w:spacing w:after="0" w:line="240" w:lineRule="auto"/>
        <w:jc w:val="both"/>
        <w:rPr>
          <w:rFonts w:ascii="Arial" w:hAnsi="Arial" w:cs="Arial"/>
          <w:sz w:val="20"/>
          <w:szCs w:val="20"/>
        </w:rPr>
      </w:pPr>
      <w:r w:rsidRPr="006D05D2">
        <w:rPr>
          <w:rFonts w:ascii="Arial" w:hAnsi="Arial" w:cs="Arial"/>
          <w:sz w:val="20"/>
          <w:szCs w:val="20"/>
        </w:rPr>
        <w:t xml:space="preserve">Producer Price Index for locally consumed products (2019 = 100) reached </w:t>
      </w:r>
      <w:r w:rsidR="00E03AC2" w:rsidRPr="006D05D2">
        <w:rPr>
          <w:rFonts w:ascii="Arial" w:hAnsi="Arial" w:cs="Arial"/>
          <w:sz w:val="20"/>
          <w:szCs w:val="20"/>
        </w:rPr>
        <w:t>162</w:t>
      </w:r>
      <w:r w:rsidRPr="006D05D2">
        <w:rPr>
          <w:rFonts w:ascii="Arial" w:hAnsi="Arial" w:cs="Arial"/>
          <w:sz w:val="20"/>
          <w:szCs w:val="20"/>
        </w:rPr>
        <w:t>.</w:t>
      </w:r>
      <w:r w:rsidR="00E03AC2" w:rsidRPr="006D05D2">
        <w:rPr>
          <w:rFonts w:ascii="Arial" w:hAnsi="Arial" w:cs="Arial"/>
          <w:sz w:val="20"/>
          <w:szCs w:val="20"/>
        </w:rPr>
        <w:t>36</w:t>
      </w:r>
      <w:r w:rsidRPr="006D05D2">
        <w:rPr>
          <w:rFonts w:ascii="Arial" w:hAnsi="Arial" w:cs="Arial"/>
          <w:sz w:val="20"/>
          <w:szCs w:val="20"/>
        </w:rPr>
        <w:t xml:space="preserve"> in </w:t>
      </w:r>
      <w:r w:rsidR="00E03AC2" w:rsidRPr="006D05D2">
        <w:rPr>
          <w:rFonts w:ascii="Arial" w:hAnsi="Arial" w:cs="Arial"/>
          <w:sz w:val="20"/>
          <w:szCs w:val="20"/>
        </w:rPr>
        <w:t>January 2025</w:t>
      </w:r>
      <w:r w:rsidRPr="006D05D2">
        <w:rPr>
          <w:rFonts w:ascii="Arial" w:hAnsi="Arial" w:cs="Arial"/>
          <w:sz w:val="20"/>
          <w:szCs w:val="20"/>
        </w:rPr>
        <w:t xml:space="preserve">, which indicates a decrease of </w:t>
      </w:r>
      <w:r w:rsidR="00E03AC2" w:rsidRPr="006D05D2">
        <w:rPr>
          <w:rFonts w:ascii="Arial" w:hAnsi="Arial" w:cs="Arial"/>
          <w:sz w:val="20"/>
          <w:szCs w:val="20"/>
        </w:rPr>
        <w:t>4</w:t>
      </w:r>
      <w:r w:rsidRPr="006D05D2">
        <w:rPr>
          <w:rFonts w:ascii="Arial" w:hAnsi="Arial" w:cs="Arial"/>
          <w:sz w:val="20"/>
          <w:szCs w:val="20"/>
        </w:rPr>
        <w:t>.</w:t>
      </w:r>
      <w:r w:rsidR="00E03AC2" w:rsidRPr="006D05D2">
        <w:rPr>
          <w:rFonts w:ascii="Arial" w:hAnsi="Arial" w:cs="Arial"/>
          <w:sz w:val="20"/>
          <w:szCs w:val="20"/>
        </w:rPr>
        <w:t>95</w:t>
      </w:r>
      <w:r w:rsidRPr="006D05D2">
        <w:rPr>
          <w:rFonts w:ascii="Arial" w:hAnsi="Arial" w:cs="Arial"/>
          <w:sz w:val="20"/>
          <w:szCs w:val="20"/>
        </w:rPr>
        <w:t xml:space="preserve">% compared to </w:t>
      </w:r>
      <w:r w:rsidR="00E03AC2" w:rsidRPr="006D05D2">
        <w:rPr>
          <w:rFonts w:ascii="Arial" w:hAnsi="Arial" w:cs="Arial"/>
          <w:sz w:val="20"/>
          <w:szCs w:val="20"/>
        </w:rPr>
        <w:t xml:space="preserve">December </w:t>
      </w:r>
      <w:r w:rsidRPr="006D05D2">
        <w:rPr>
          <w:rFonts w:ascii="Arial" w:hAnsi="Arial" w:cs="Arial"/>
          <w:sz w:val="20"/>
          <w:szCs w:val="20"/>
        </w:rPr>
        <w:t>2024.</w:t>
      </w:r>
    </w:p>
    <w:p w:rsidR="00D1192D" w:rsidRPr="006D05D2" w:rsidRDefault="00D1192D" w:rsidP="00D1192D">
      <w:pPr>
        <w:pStyle w:val="BodyText2"/>
        <w:bidi w:val="0"/>
        <w:spacing w:after="0" w:line="240" w:lineRule="auto"/>
        <w:jc w:val="both"/>
        <w:rPr>
          <w:rFonts w:ascii="Arial" w:hAnsi="Arial" w:cs="Arial"/>
          <w:sz w:val="20"/>
          <w:szCs w:val="20"/>
        </w:rPr>
      </w:pPr>
    </w:p>
    <w:p w:rsidR="00EA74CA" w:rsidRPr="006D05D2" w:rsidRDefault="00EA74CA" w:rsidP="00E03AC2">
      <w:pPr>
        <w:pStyle w:val="BodyText2"/>
        <w:bidi w:val="0"/>
        <w:spacing w:after="0" w:line="240" w:lineRule="auto"/>
        <w:jc w:val="both"/>
        <w:rPr>
          <w:rFonts w:ascii="Arial" w:hAnsi="Arial" w:cs="Arial"/>
          <w:b/>
          <w:bCs/>
          <w:sz w:val="20"/>
          <w:szCs w:val="20"/>
        </w:rPr>
      </w:pPr>
      <w:r w:rsidRPr="006D05D2">
        <w:rPr>
          <w:rFonts w:ascii="Arial" w:hAnsi="Arial" w:cs="Arial"/>
          <w:b/>
          <w:bCs/>
          <w:sz w:val="20"/>
          <w:szCs w:val="20"/>
        </w:rPr>
        <w:t xml:space="preserve">PPI for local exported products during </w:t>
      </w:r>
      <w:r w:rsidR="00E03AC2" w:rsidRPr="006D05D2">
        <w:rPr>
          <w:rFonts w:ascii="Arial" w:hAnsi="Arial" w:cs="Arial"/>
          <w:b/>
          <w:bCs/>
          <w:sz w:val="20"/>
          <w:szCs w:val="20"/>
        </w:rPr>
        <w:t>January 2025</w:t>
      </w:r>
    </w:p>
    <w:p w:rsidR="00EA74CA" w:rsidRPr="006D05D2" w:rsidRDefault="00EA74CA" w:rsidP="00E03AC2">
      <w:pPr>
        <w:pStyle w:val="BodyText2"/>
        <w:bidi w:val="0"/>
        <w:spacing w:after="0" w:line="240" w:lineRule="auto"/>
        <w:jc w:val="both"/>
        <w:rPr>
          <w:rFonts w:ascii="Arial" w:hAnsi="Arial" w:cs="Arial"/>
          <w:sz w:val="20"/>
          <w:szCs w:val="20"/>
        </w:rPr>
      </w:pPr>
      <w:r w:rsidRPr="006D05D2">
        <w:rPr>
          <w:rFonts w:ascii="Arial" w:hAnsi="Arial" w:cs="Arial"/>
          <w:sz w:val="20"/>
          <w:szCs w:val="20"/>
        </w:rPr>
        <w:t>Producer Price Index for local exported products (</w:t>
      </w:r>
      <w:r w:rsidRPr="006D05D2">
        <w:rPr>
          <w:rFonts w:ascii="Arial" w:hAnsi="Arial" w:cs="Arial"/>
          <w:color w:val="000000"/>
          <w:sz w:val="20"/>
          <w:szCs w:val="20"/>
        </w:rPr>
        <w:t>2019</w:t>
      </w:r>
      <w:r w:rsidRPr="006D05D2">
        <w:rPr>
          <w:rFonts w:ascii="Arial" w:hAnsi="Arial" w:cs="Arial"/>
          <w:sz w:val="20"/>
          <w:szCs w:val="20"/>
        </w:rPr>
        <w:t xml:space="preserve"> = 100) reached </w:t>
      </w:r>
      <w:r w:rsidR="00E03AC2" w:rsidRPr="006D05D2">
        <w:rPr>
          <w:rFonts w:ascii="Arial" w:hAnsi="Arial" w:cs="Arial"/>
          <w:sz w:val="20"/>
          <w:szCs w:val="20"/>
        </w:rPr>
        <w:t>116</w:t>
      </w:r>
      <w:r w:rsidR="004547F6" w:rsidRPr="006D05D2">
        <w:rPr>
          <w:rFonts w:ascii="Arial" w:hAnsi="Arial" w:cs="Arial"/>
          <w:sz w:val="20"/>
          <w:szCs w:val="20"/>
        </w:rPr>
        <w:t>.</w:t>
      </w:r>
      <w:r w:rsidR="00E03AC2" w:rsidRPr="006D05D2">
        <w:rPr>
          <w:rFonts w:ascii="Arial" w:hAnsi="Arial" w:cs="Arial"/>
          <w:sz w:val="20"/>
          <w:szCs w:val="20"/>
        </w:rPr>
        <w:t>42</w:t>
      </w:r>
      <w:r w:rsidRPr="006D05D2">
        <w:rPr>
          <w:rFonts w:ascii="Arial" w:hAnsi="Arial" w:cs="Arial"/>
          <w:sz w:val="20"/>
          <w:szCs w:val="20"/>
        </w:rPr>
        <w:t xml:space="preserve"> in </w:t>
      </w:r>
      <w:r w:rsidR="00E03AC2" w:rsidRPr="006D05D2">
        <w:rPr>
          <w:rFonts w:ascii="Arial" w:hAnsi="Arial" w:cs="Arial"/>
          <w:sz w:val="20"/>
          <w:szCs w:val="20"/>
        </w:rPr>
        <w:t>January 2025</w:t>
      </w:r>
      <w:r w:rsidRPr="006D05D2">
        <w:rPr>
          <w:rFonts w:ascii="Arial" w:hAnsi="Arial" w:cs="Arial"/>
          <w:sz w:val="20"/>
          <w:szCs w:val="20"/>
        </w:rPr>
        <w:t xml:space="preserve">, which indicates </w:t>
      </w:r>
      <w:r w:rsidR="00BE0336" w:rsidRPr="006D05D2">
        <w:rPr>
          <w:rFonts w:ascii="Arial" w:hAnsi="Arial" w:cs="Arial"/>
          <w:sz w:val="20"/>
          <w:szCs w:val="20"/>
        </w:rPr>
        <w:t>a</w:t>
      </w:r>
      <w:r w:rsidRPr="006D05D2">
        <w:rPr>
          <w:rFonts w:ascii="Arial" w:hAnsi="Arial" w:cs="Arial"/>
          <w:sz w:val="20"/>
          <w:szCs w:val="20"/>
        </w:rPr>
        <w:t xml:space="preserve"> </w:t>
      </w:r>
      <w:r w:rsidR="00D1192D" w:rsidRPr="006D05D2">
        <w:rPr>
          <w:rFonts w:ascii="Arial" w:hAnsi="Arial" w:cs="Arial"/>
          <w:sz w:val="20"/>
          <w:szCs w:val="20"/>
        </w:rPr>
        <w:t>de</w:t>
      </w:r>
      <w:r w:rsidR="00BE0336" w:rsidRPr="006D05D2">
        <w:rPr>
          <w:rFonts w:ascii="Arial" w:hAnsi="Arial" w:cs="Arial"/>
          <w:sz w:val="20"/>
          <w:szCs w:val="20"/>
        </w:rPr>
        <w:t>crease</w:t>
      </w:r>
      <w:r w:rsidRPr="006D05D2">
        <w:rPr>
          <w:rFonts w:ascii="Arial" w:hAnsi="Arial" w:cs="Arial"/>
          <w:sz w:val="20"/>
          <w:szCs w:val="20"/>
        </w:rPr>
        <w:t xml:space="preserve"> </w:t>
      </w:r>
      <w:r w:rsidRPr="006D05D2">
        <w:rPr>
          <w:rFonts w:ascii="Arial" w:hAnsi="Arial" w:cs="Arial"/>
          <w:color w:val="000000"/>
          <w:sz w:val="20"/>
          <w:szCs w:val="20"/>
        </w:rPr>
        <w:t>of</w:t>
      </w:r>
      <w:r w:rsidRPr="006D05D2">
        <w:rPr>
          <w:rFonts w:ascii="Arial" w:hAnsi="Arial" w:cs="Arial"/>
          <w:sz w:val="20"/>
          <w:szCs w:val="20"/>
        </w:rPr>
        <w:t xml:space="preserve"> </w:t>
      </w:r>
      <w:r w:rsidR="00E03AC2" w:rsidRPr="006D05D2">
        <w:rPr>
          <w:rFonts w:ascii="Arial" w:hAnsi="Arial" w:cs="Arial"/>
          <w:sz w:val="20"/>
          <w:szCs w:val="20"/>
        </w:rPr>
        <w:t>2</w:t>
      </w:r>
      <w:r w:rsidR="007D32FE" w:rsidRPr="006D05D2">
        <w:rPr>
          <w:rFonts w:ascii="Arial" w:hAnsi="Arial" w:cs="Arial"/>
          <w:sz w:val="20"/>
          <w:szCs w:val="20"/>
        </w:rPr>
        <w:t>.</w:t>
      </w:r>
      <w:r w:rsidR="00E03AC2" w:rsidRPr="006D05D2">
        <w:rPr>
          <w:rFonts w:ascii="Arial" w:hAnsi="Arial" w:cs="Arial"/>
          <w:sz w:val="20"/>
          <w:szCs w:val="20"/>
        </w:rPr>
        <w:t>72</w:t>
      </w:r>
      <w:r w:rsidRPr="006D05D2">
        <w:rPr>
          <w:rFonts w:ascii="Arial" w:hAnsi="Arial" w:cs="Arial"/>
          <w:sz w:val="20"/>
          <w:szCs w:val="20"/>
        </w:rPr>
        <w:t xml:space="preserve">% compared to </w:t>
      </w:r>
      <w:r w:rsidR="00E03AC2" w:rsidRPr="006D05D2">
        <w:rPr>
          <w:rFonts w:ascii="Arial" w:hAnsi="Arial" w:cs="Arial"/>
          <w:sz w:val="20"/>
          <w:szCs w:val="20"/>
        </w:rPr>
        <w:t xml:space="preserve">December </w:t>
      </w:r>
      <w:r w:rsidR="00BF4670" w:rsidRPr="006D05D2">
        <w:rPr>
          <w:rFonts w:ascii="Arial" w:hAnsi="Arial" w:cs="Arial"/>
          <w:sz w:val="20"/>
          <w:szCs w:val="20"/>
        </w:rPr>
        <w:t>2024</w:t>
      </w:r>
      <w:r w:rsidRPr="006D05D2">
        <w:rPr>
          <w:rFonts w:ascii="Arial" w:hAnsi="Arial" w:cs="Arial"/>
          <w:sz w:val="20"/>
          <w:szCs w:val="20"/>
        </w:rPr>
        <w:t>.</w:t>
      </w:r>
    </w:p>
    <w:p w:rsidR="003535CC" w:rsidRPr="006D05D2" w:rsidRDefault="003535CC" w:rsidP="003535CC">
      <w:pPr>
        <w:pStyle w:val="BodyText2"/>
        <w:bidi w:val="0"/>
        <w:spacing w:after="0" w:line="240" w:lineRule="auto"/>
        <w:jc w:val="both"/>
        <w:rPr>
          <w:rFonts w:ascii="Arial" w:hAnsi="Arial" w:cs="Arial"/>
          <w:sz w:val="20"/>
          <w:szCs w:val="20"/>
        </w:rPr>
      </w:pPr>
    </w:p>
    <w:p w:rsidR="00F76B50" w:rsidRPr="006D05D2" w:rsidRDefault="00F76B50" w:rsidP="00F50FDD">
      <w:pPr>
        <w:pStyle w:val="BodyText2"/>
        <w:bidi w:val="0"/>
        <w:spacing w:after="0" w:line="240" w:lineRule="auto"/>
        <w:jc w:val="both"/>
        <w:rPr>
          <w:rFonts w:ascii="Arial" w:hAnsi="Arial" w:cs="Arial"/>
          <w:sz w:val="20"/>
          <w:szCs w:val="20"/>
        </w:rPr>
      </w:pPr>
    </w:p>
    <w:p w:rsidR="00EA74CA" w:rsidRPr="006D05D2" w:rsidRDefault="00EA74CA" w:rsidP="001F761F">
      <w:pPr>
        <w:pStyle w:val="BodyText2"/>
        <w:bidi w:val="0"/>
        <w:spacing w:after="0" w:line="240" w:lineRule="auto"/>
        <w:jc w:val="both"/>
        <w:rPr>
          <w:rFonts w:ascii="Arial" w:hAnsi="Arial" w:cs="Arial"/>
          <w:sz w:val="20"/>
          <w:szCs w:val="20"/>
        </w:rPr>
      </w:pPr>
      <w:r w:rsidRPr="006D05D2">
        <w:rPr>
          <w:rFonts w:ascii="Arial" w:hAnsi="Arial" w:cs="Arial"/>
          <w:sz w:val="20"/>
          <w:szCs w:val="20"/>
        </w:rPr>
        <w:t xml:space="preserve">The changes of PPI for </w:t>
      </w:r>
      <w:r w:rsidR="001F761F" w:rsidRPr="006D05D2">
        <w:rPr>
          <w:rFonts w:ascii="Arial" w:hAnsi="Arial" w:cs="Arial"/>
          <w:sz w:val="20"/>
          <w:szCs w:val="20"/>
        </w:rPr>
        <w:t>January</w:t>
      </w:r>
      <w:r w:rsidR="00D1192D" w:rsidRPr="006D05D2">
        <w:rPr>
          <w:rFonts w:ascii="Arial" w:hAnsi="Arial" w:cs="Arial"/>
          <w:sz w:val="20"/>
          <w:szCs w:val="20"/>
        </w:rPr>
        <w:t xml:space="preserve"> </w:t>
      </w:r>
      <w:r w:rsidR="001F761F" w:rsidRPr="006D05D2">
        <w:rPr>
          <w:rFonts w:ascii="Arial" w:hAnsi="Arial" w:cs="Arial"/>
          <w:sz w:val="20"/>
          <w:szCs w:val="20"/>
        </w:rPr>
        <w:t>2025</w:t>
      </w:r>
      <w:r w:rsidRPr="006D05D2">
        <w:rPr>
          <w:rFonts w:ascii="Arial" w:hAnsi="Arial" w:cs="Arial"/>
          <w:sz w:val="20"/>
          <w:szCs w:val="20"/>
        </w:rPr>
        <w:t xml:space="preserve"> </w:t>
      </w:r>
      <w:proofErr w:type="gramStart"/>
      <w:r w:rsidRPr="006D05D2">
        <w:rPr>
          <w:rFonts w:ascii="Arial" w:hAnsi="Arial" w:cs="Arial"/>
          <w:sz w:val="20"/>
          <w:szCs w:val="20"/>
        </w:rPr>
        <w:t>were traced</w:t>
      </w:r>
      <w:proofErr w:type="gramEnd"/>
      <w:r w:rsidRPr="006D05D2">
        <w:rPr>
          <w:rFonts w:ascii="Arial" w:hAnsi="Arial" w:cs="Arial"/>
          <w:sz w:val="20"/>
          <w:szCs w:val="20"/>
        </w:rPr>
        <w:t xml:space="preserve"> back to changes in prices of the following major activities compared to the previous month: </w:t>
      </w:r>
    </w:p>
    <w:p w:rsidR="00EA74CA" w:rsidRPr="006D05D2" w:rsidRDefault="00EA74CA" w:rsidP="00EA74CA">
      <w:pPr>
        <w:pStyle w:val="BodyText2"/>
        <w:tabs>
          <w:tab w:val="right" w:pos="3544"/>
          <w:tab w:val="right" w:pos="3686"/>
        </w:tabs>
        <w:bidi w:val="0"/>
        <w:spacing w:after="0" w:line="240" w:lineRule="auto"/>
        <w:jc w:val="both"/>
        <w:rPr>
          <w:rFonts w:ascii="Arial" w:hAnsi="Arial" w:cs="Arial"/>
          <w:color w:val="000000"/>
          <w:sz w:val="20"/>
          <w:szCs w:val="20"/>
        </w:rPr>
      </w:pPr>
    </w:p>
    <w:tbl>
      <w:tblPr>
        <w:tblW w:w="4893" w:type="dxa"/>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6D05D2" w:rsidTr="008A63CC">
        <w:trPr>
          <w:trHeight w:val="567"/>
        </w:trPr>
        <w:tc>
          <w:tcPr>
            <w:tcW w:w="2824" w:type="dxa"/>
            <w:shd w:val="clear" w:color="auto" w:fill="auto"/>
            <w:vAlign w:val="center"/>
          </w:tcPr>
          <w:p w:rsidR="00EA74CA" w:rsidRPr="006D05D2" w:rsidRDefault="00EA74CA" w:rsidP="00124954">
            <w:pPr>
              <w:pStyle w:val="BodyText2"/>
              <w:bidi w:val="0"/>
              <w:spacing w:after="0" w:line="240" w:lineRule="auto"/>
              <w:jc w:val="center"/>
              <w:rPr>
                <w:rFonts w:ascii="Arial" w:hAnsi="Arial" w:cs="Arial"/>
                <w:sz w:val="20"/>
                <w:szCs w:val="20"/>
              </w:rPr>
            </w:pPr>
            <w:r w:rsidRPr="006D05D2">
              <w:rPr>
                <w:rFonts w:ascii="Arial" w:hAnsi="Arial" w:cs="Arial"/>
                <w:b/>
                <w:bCs/>
                <w:snapToGrid w:val="0"/>
                <w:sz w:val="20"/>
                <w:szCs w:val="20"/>
              </w:rPr>
              <w:softHyphen/>
            </w:r>
            <w:r w:rsidRPr="006D05D2">
              <w:rPr>
                <w:rFonts w:ascii="Arial" w:hAnsi="Arial" w:cs="Arial"/>
                <w:b/>
                <w:bCs/>
                <w:snapToGrid w:val="0"/>
                <w:sz w:val="20"/>
                <w:szCs w:val="20"/>
              </w:rPr>
              <w:softHyphen/>
            </w:r>
            <w:r w:rsidRPr="006D05D2">
              <w:rPr>
                <w:rFonts w:ascii="Arial" w:hAnsi="Arial" w:cs="Arial"/>
                <w:b/>
                <w:bCs/>
                <w:snapToGrid w:val="0"/>
                <w:sz w:val="20"/>
                <w:szCs w:val="20"/>
              </w:rPr>
              <w:softHyphen/>
            </w:r>
            <w:r w:rsidRPr="006D05D2">
              <w:rPr>
                <w:rFonts w:ascii="Arial" w:hAnsi="Arial" w:cs="Arial"/>
                <w:b/>
                <w:bCs/>
                <w:snapToGrid w:val="0"/>
                <w:sz w:val="20"/>
                <w:szCs w:val="20"/>
              </w:rPr>
              <w:softHyphen/>
            </w:r>
            <w:r w:rsidRPr="006D05D2">
              <w:rPr>
                <w:rFonts w:ascii="Arial" w:hAnsi="Arial" w:cs="Arial"/>
                <w:b/>
                <w:bCs/>
                <w:snapToGrid w:val="0"/>
                <w:sz w:val="20"/>
                <w:szCs w:val="20"/>
              </w:rPr>
              <w:softHyphen/>
            </w:r>
            <w:r w:rsidRPr="006D05D2">
              <w:rPr>
                <w:rFonts w:ascii="Arial" w:hAnsi="Arial" w:cs="Arial"/>
                <w:b/>
                <w:bCs/>
                <w:snapToGrid w:val="0"/>
                <w:sz w:val="20"/>
                <w:szCs w:val="20"/>
              </w:rPr>
              <w:softHyphen/>
            </w:r>
            <w:r w:rsidRPr="006D05D2">
              <w:rPr>
                <w:rFonts w:ascii="Arial" w:hAnsi="Arial" w:cs="Arial"/>
                <w:b/>
                <w:bCs/>
                <w:snapToGrid w:val="0"/>
                <w:sz w:val="20"/>
                <w:szCs w:val="20"/>
              </w:rPr>
              <w:softHyphen/>
            </w:r>
            <w:r w:rsidRPr="006D05D2">
              <w:rPr>
                <w:rFonts w:ascii="Arial" w:hAnsi="Arial" w:cs="Arial"/>
                <w:b/>
                <w:bCs/>
                <w:color w:val="000000"/>
                <w:sz w:val="20"/>
                <w:szCs w:val="20"/>
              </w:rPr>
              <w:t>Major Activities</w:t>
            </w:r>
          </w:p>
        </w:tc>
        <w:tc>
          <w:tcPr>
            <w:tcW w:w="2069" w:type="dxa"/>
            <w:shd w:val="clear" w:color="auto" w:fill="auto"/>
            <w:vAlign w:val="center"/>
          </w:tcPr>
          <w:p w:rsidR="00EA74CA" w:rsidRPr="006D05D2" w:rsidRDefault="004759F0" w:rsidP="004759F0">
            <w:pPr>
              <w:pStyle w:val="BodyText2"/>
              <w:bidi w:val="0"/>
              <w:spacing w:after="0" w:line="240" w:lineRule="auto"/>
              <w:ind w:right="-108"/>
              <w:jc w:val="center"/>
              <w:rPr>
                <w:rFonts w:ascii="Arial" w:hAnsi="Arial" w:cs="Arial"/>
                <w:sz w:val="20"/>
                <w:szCs w:val="20"/>
              </w:rPr>
            </w:pPr>
            <w:r w:rsidRPr="006D05D2">
              <w:rPr>
                <w:rFonts w:ascii="Arial" w:hAnsi="Arial" w:cs="Arial"/>
                <w:b/>
                <w:bCs/>
                <w:sz w:val="20"/>
                <w:szCs w:val="20"/>
              </w:rPr>
              <w:t xml:space="preserve">    Percent</w:t>
            </w:r>
            <w:r w:rsidR="00EA74CA" w:rsidRPr="006D05D2">
              <w:rPr>
                <w:rFonts w:ascii="Arial" w:hAnsi="Arial" w:cs="Arial"/>
                <w:b/>
                <w:bCs/>
                <w:sz w:val="20"/>
                <w:szCs w:val="20"/>
              </w:rPr>
              <w:t xml:space="preserve"> Change</w:t>
            </w:r>
            <w:r w:rsidRPr="006D05D2">
              <w:rPr>
                <w:rFonts w:ascii="Arial" w:hAnsi="Arial" w:cs="Arial"/>
                <w:b/>
                <w:bCs/>
                <w:sz w:val="20"/>
                <w:szCs w:val="20"/>
              </w:rPr>
              <w:t xml:space="preserve"> %</w:t>
            </w:r>
          </w:p>
        </w:tc>
      </w:tr>
      <w:tr w:rsidR="00EA7619" w:rsidRPr="006D05D2" w:rsidTr="008A63CC">
        <w:trPr>
          <w:trHeight w:val="567"/>
        </w:trPr>
        <w:tc>
          <w:tcPr>
            <w:tcW w:w="2824" w:type="dxa"/>
            <w:shd w:val="clear" w:color="auto" w:fill="auto"/>
            <w:vAlign w:val="center"/>
          </w:tcPr>
          <w:p w:rsidR="00EA7619" w:rsidRPr="006D05D2" w:rsidRDefault="00EA7619" w:rsidP="00EA7619">
            <w:pPr>
              <w:pStyle w:val="BodyText2"/>
              <w:bidi w:val="0"/>
              <w:spacing w:after="0" w:line="240" w:lineRule="auto"/>
              <w:jc w:val="both"/>
              <w:rPr>
                <w:rFonts w:ascii="Arial" w:hAnsi="Arial" w:cs="Arial"/>
                <w:sz w:val="20"/>
                <w:szCs w:val="20"/>
              </w:rPr>
            </w:pPr>
            <w:r w:rsidRPr="006D05D2">
              <w:rPr>
                <w:rFonts w:ascii="Arial" w:hAnsi="Arial" w:cs="Arial"/>
                <w:color w:val="000000"/>
                <w:sz w:val="20"/>
                <w:szCs w:val="20"/>
              </w:rPr>
              <w:t xml:space="preserve">Agriculture, forestry and fishing </w:t>
            </w:r>
          </w:p>
        </w:tc>
        <w:tc>
          <w:tcPr>
            <w:tcW w:w="2069" w:type="dxa"/>
            <w:shd w:val="clear" w:color="auto" w:fill="auto"/>
            <w:vAlign w:val="center"/>
          </w:tcPr>
          <w:p w:rsidR="00EA7619" w:rsidRPr="006D05D2" w:rsidRDefault="0087065E" w:rsidP="001F761F">
            <w:pPr>
              <w:pStyle w:val="BodyText2"/>
              <w:tabs>
                <w:tab w:val="right" w:pos="165"/>
              </w:tabs>
              <w:bidi w:val="0"/>
              <w:spacing w:after="0" w:line="240" w:lineRule="auto"/>
              <w:jc w:val="center"/>
              <w:rPr>
                <w:rFonts w:ascii="Arial" w:hAnsi="Arial" w:cs="Arial"/>
                <w:sz w:val="20"/>
                <w:szCs w:val="20"/>
              </w:rPr>
            </w:pPr>
            <w:r w:rsidRPr="006D05D2">
              <w:rPr>
                <w:rFonts w:ascii="Arial" w:hAnsi="Arial" w:cs="Arial"/>
                <w:sz w:val="20"/>
                <w:szCs w:val="20"/>
              </w:rPr>
              <w:t xml:space="preserve">       </w:t>
            </w:r>
            <w:r w:rsidR="00D1192D" w:rsidRPr="006D05D2">
              <w:rPr>
                <w:rFonts w:ascii="Arial" w:hAnsi="Arial" w:cs="Arial"/>
                <w:sz w:val="20"/>
                <w:szCs w:val="20"/>
              </w:rPr>
              <w:t>-</w:t>
            </w:r>
            <w:r w:rsidR="00EA7619" w:rsidRPr="006D05D2">
              <w:rPr>
                <w:rFonts w:ascii="Arial" w:hAnsi="Arial" w:cs="Arial"/>
                <w:sz w:val="20"/>
                <w:szCs w:val="20"/>
              </w:rPr>
              <w:t xml:space="preserve"> </w:t>
            </w:r>
            <w:r w:rsidR="001F761F" w:rsidRPr="006D05D2">
              <w:rPr>
                <w:rFonts w:ascii="Arial" w:hAnsi="Arial" w:cs="Arial"/>
                <w:sz w:val="20"/>
                <w:szCs w:val="20"/>
              </w:rPr>
              <w:t>9</w:t>
            </w:r>
            <w:r w:rsidR="007D32FE" w:rsidRPr="006D05D2">
              <w:rPr>
                <w:rFonts w:ascii="Arial" w:hAnsi="Arial" w:cs="Arial"/>
                <w:sz w:val="20"/>
                <w:szCs w:val="20"/>
              </w:rPr>
              <w:t>.</w:t>
            </w:r>
            <w:r w:rsidR="001F761F" w:rsidRPr="006D05D2">
              <w:rPr>
                <w:rFonts w:ascii="Arial" w:hAnsi="Arial" w:cs="Arial"/>
                <w:sz w:val="20"/>
                <w:szCs w:val="20"/>
              </w:rPr>
              <w:t>49</w:t>
            </w:r>
            <w:r w:rsidR="00EA7619" w:rsidRPr="006D05D2">
              <w:rPr>
                <w:rFonts w:ascii="Arial" w:hAnsi="Arial" w:cs="Arial"/>
                <w:sz w:val="20"/>
                <w:szCs w:val="20"/>
              </w:rPr>
              <w:t>%</w:t>
            </w:r>
          </w:p>
        </w:tc>
      </w:tr>
      <w:tr w:rsidR="001F761F" w:rsidRPr="006D05D2" w:rsidTr="008A63CC">
        <w:trPr>
          <w:trHeight w:val="567"/>
        </w:trPr>
        <w:tc>
          <w:tcPr>
            <w:tcW w:w="2824" w:type="dxa"/>
            <w:shd w:val="clear" w:color="auto" w:fill="auto"/>
            <w:vAlign w:val="center"/>
          </w:tcPr>
          <w:p w:rsidR="001F761F" w:rsidRPr="006D05D2" w:rsidRDefault="001F761F" w:rsidP="001F761F">
            <w:pPr>
              <w:pStyle w:val="BodyText2"/>
              <w:bidi w:val="0"/>
              <w:spacing w:after="0" w:line="240" w:lineRule="auto"/>
              <w:jc w:val="both"/>
              <w:rPr>
                <w:rFonts w:ascii="Arial" w:hAnsi="Arial" w:cs="Arial"/>
                <w:sz w:val="20"/>
                <w:szCs w:val="20"/>
              </w:rPr>
            </w:pPr>
          </w:p>
          <w:p w:rsidR="001F761F" w:rsidRPr="006D05D2" w:rsidRDefault="001F761F" w:rsidP="001F761F">
            <w:pPr>
              <w:pStyle w:val="BodyText2"/>
              <w:bidi w:val="0"/>
              <w:spacing w:after="0" w:line="240" w:lineRule="auto"/>
              <w:jc w:val="both"/>
              <w:rPr>
                <w:rFonts w:ascii="Arial" w:hAnsi="Arial" w:cs="Arial"/>
                <w:sz w:val="20"/>
                <w:szCs w:val="20"/>
              </w:rPr>
            </w:pPr>
            <w:r w:rsidRPr="006D05D2">
              <w:rPr>
                <w:rFonts w:ascii="Arial" w:hAnsi="Arial" w:cs="Arial"/>
                <w:sz w:val="20"/>
                <w:szCs w:val="20"/>
              </w:rPr>
              <w:t>Water supply; sewerage, waste management and remediation activities</w:t>
            </w:r>
          </w:p>
        </w:tc>
        <w:tc>
          <w:tcPr>
            <w:tcW w:w="2069" w:type="dxa"/>
            <w:shd w:val="clear" w:color="auto" w:fill="auto"/>
            <w:vAlign w:val="center"/>
          </w:tcPr>
          <w:p w:rsidR="001F761F" w:rsidRPr="006D05D2" w:rsidRDefault="001F761F" w:rsidP="000461C1">
            <w:pPr>
              <w:pStyle w:val="BodyText2"/>
              <w:tabs>
                <w:tab w:val="right" w:pos="165"/>
              </w:tabs>
              <w:bidi w:val="0"/>
              <w:spacing w:after="0" w:line="240" w:lineRule="auto"/>
              <w:jc w:val="center"/>
              <w:rPr>
                <w:rFonts w:ascii="Arial" w:hAnsi="Arial" w:cs="Arial"/>
                <w:sz w:val="20"/>
                <w:szCs w:val="20"/>
              </w:rPr>
            </w:pPr>
            <w:r w:rsidRPr="006D05D2">
              <w:rPr>
                <w:rFonts w:ascii="Arial" w:hAnsi="Arial" w:cs="Arial"/>
                <w:sz w:val="20"/>
                <w:szCs w:val="20"/>
              </w:rPr>
              <w:t xml:space="preserve">      - 1.</w:t>
            </w:r>
            <w:r w:rsidR="000461C1" w:rsidRPr="006D05D2">
              <w:rPr>
                <w:rFonts w:ascii="Arial" w:hAnsi="Arial" w:cs="Arial"/>
                <w:sz w:val="20"/>
                <w:szCs w:val="20"/>
              </w:rPr>
              <w:t>67</w:t>
            </w:r>
            <w:r w:rsidRPr="006D05D2">
              <w:rPr>
                <w:rFonts w:ascii="Arial" w:hAnsi="Arial" w:cs="Arial"/>
                <w:sz w:val="20"/>
                <w:szCs w:val="20"/>
              </w:rPr>
              <w:t>%</w:t>
            </w:r>
          </w:p>
        </w:tc>
      </w:tr>
      <w:tr w:rsidR="001F761F" w:rsidRPr="006D05D2" w:rsidTr="008A63CC">
        <w:trPr>
          <w:trHeight w:val="567"/>
        </w:trPr>
        <w:tc>
          <w:tcPr>
            <w:tcW w:w="2824" w:type="dxa"/>
            <w:shd w:val="clear" w:color="auto" w:fill="auto"/>
            <w:vAlign w:val="center"/>
          </w:tcPr>
          <w:p w:rsidR="001F761F" w:rsidRPr="006D05D2" w:rsidRDefault="001F761F" w:rsidP="001F761F">
            <w:pPr>
              <w:pStyle w:val="BodyText2"/>
              <w:bidi w:val="0"/>
              <w:spacing w:after="0" w:line="240" w:lineRule="auto"/>
              <w:jc w:val="both"/>
              <w:rPr>
                <w:rFonts w:ascii="Arial" w:hAnsi="Arial" w:cs="Arial"/>
                <w:color w:val="000000"/>
                <w:sz w:val="20"/>
                <w:szCs w:val="20"/>
              </w:rPr>
            </w:pPr>
            <w:r w:rsidRPr="006D05D2">
              <w:rPr>
                <w:rFonts w:ascii="Arial" w:hAnsi="Arial" w:cs="Arial"/>
                <w:color w:val="000000"/>
                <w:sz w:val="20"/>
                <w:szCs w:val="20"/>
              </w:rPr>
              <w:t>Manufacturing</w:t>
            </w:r>
          </w:p>
        </w:tc>
        <w:tc>
          <w:tcPr>
            <w:tcW w:w="2069" w:type="dxa"/>
            <w:shd w:val="clear" w:color="auto" w:fill="auto"/>
            <w:vAlign w:val="center"/>
          </w:tcPr>
          <w:p w:rsidR="001F761F" w:rsidRPr="006D05D2" w:rsidRDefault="001F761F" w:rsidP="001F761F">
            <w:pPr>
              <w:pStyle w:val="BodyText2"/>
              <w:tabs>
                <w:tab w:val="right" w:pos="225"/>
                <w:tab w:val="right" w:pos="480"/>
                <w:tab w:val="right" w:pos="885"/>
              </w:tabs>
              <w:bidi w:val="0"/>
              <w:spacing w:after="0" w:line="240" w:lineRule="auto"/>
              <w:ind w:right="-108"/>
              <w:rPr>
                <w:rFonts w:ascii="Arial" w:hAnsi="Arial" w:cs="Arial"/>
                <w:sz w:val="20"/>
                <w:szCs w:val="20"/>
              </w:rPr>
            </w:pPr>
            <w:r w:rsidRPr="006D05D2">
              <w:rPr>
                <w:rFonts w:ascii="Arial" w:hAnsi="Arial" w:cs="Arial"/>
                <w:sz w:val="20"/>
                <w:szCs w:val="20"/>
              </w:rPr>
              <w:t xml:space="preserve">            - 0.17% </w:t>
            </w:r>
          </w:p>
        </w:tc>
      </w:tr>
      <w:tr w:rsidR="001F761F" w:rsidRPr="006D05D2" w:rsidTr="008A63CC">
        <w:trPr>
          <w:trHeight w:val="567"/>
        </w:trPr>
        <w:tc>
          <w:tcPr>
            <w:tcW w:w="2824" w:type="dxa"/>
            <w:shd w:val="clear" w:color="auto" w:fill="auto"/>
            <w:vAlign w:val="center"/>
          </w:tcPr>
          <w:p w:rsidR="001F761F" w:rsidRPr="006D05D2" w:rsidRDefault="001F761F" w:rsidP="001F761F">
            <w:pPr>
              <w:pStyle w:val="BodyText2"/>
              <w:bidi w:val="0"/>
              <w:spacing w:after="0" w:line="240" w:lineRule="auto"/>
              <w:jc w:val="both"/>
              <w:rPr>
                <w:rFonts w:ascii="Arial" w:hAnsi="Arial" w:cs="Arial"/>
                <w:sz w:val="20"/>
                <w:szCs w:val="20"/>
              </w:rPr>
            </w:pPr>
            <w:r w:rsidRPr="006D05D2">
              <w:rPr>
                <w:rFonts w:ascii="Arial" w:hAnsi="Arial" w:cs="Arial"/>
                <w:color w:val="000000"/>
                <w:sz w:val="20"/>
                <w:szCs w:val="20"/>
              </w:rPr>
              <w:t>Mining and quarrying</w:t>
            </w:r>
          </w:p>
        </w:tc>
        <w:tc>
          <w:tcPr>
            <w:tcW w:w="2069" w:type="dxa"/>
            <w:shd w:val="clear" w:color="auto" w:fill="auto"/>
            <w:vAlign w:val="center"/>
          </w:tcPr>
          <w:p w:rsidR="001F761F" w:rsidRPr="006D05D2" w:rsidRDefault="001F761F" w:rsidP="001F761F">
            <w:pPr>
              <w:pStyle w:val="BodyText2"/>
              <w:tabs>
                <w:tab w:val="right" w:pos="165"/>
              </w:tabs>
              <w:bidi w:val="0"/>
              <w:spacing w:after="0" w:line="240" w:lineRule="auto"/>
              <w:jc w:val="center"/>
              <w:rPr>
                <w:rFonts w:ascii="Arial" w:hAnsi="Arial" w:cs="Arial"/>
                <w:sz w:val="20"/>
                <w:szCs w:val="20"/>
              </w:rPr>
            </w:pPr>
            <w:r w:rsidRPr="006D05D2">
              <w:rPr>
                <w:rFonts w:ascii="Arial" w:hAnsi="Arial" w:cs="Arial"/>
                <w:sz w:val="20"/>
                <w:szCs w:val="20"/>
              </w:rPr>
              <w:t xml:space="preserve">         0.00%</w:t>
            </w:r>
          </w:p>
        </w:tc>
      </w:tr>
      <w:tr w:rsidR="00AB5831" w:rsidRPr="006D05D2" w:rsidTr="008A63CC">
        <w:trPr>
          <w:trHeight w:val="567"/>
        </w:trPr>
        <w:tc>
          <w:tcPr>
            <w:tcW w:w="2824" w:type="dxa"/>
            <w:shd w:val="clear" w:color="auto" w:fill="auto"/>
            <w:vAlign w:val="center"/>
          </w:tcPr>
          <w:p w:rsidR="00AB5831" w:rsidRPr="006D05D2" w:rsidRDefault="00AB5831" w:rsidP="00AB5831">
            <w:pPr>
              <w:pStyle w:val="BodyText2"/>
              <w:bidi w:val="0"/>
              <w:spacing w:after="0" w:line="240" w:lineRule="auto"/>
              <w:jc w:val="both"/>
              <w:rPr>
                <w:rFonts w:ascii="Arial" w:hAnsi="Arial" w:cs="Arial"/>
                <w:sz w:val="20"/>
                <w:szCs w:val="20"/>
                <w:rtl/>
              </w:rPr>
            </w:pPr>
            <w:r w:rsidRPr="006D05D2">
              <w:rPr>
                <w:rFonts w:ascii="Arial" w:hAnsi="Arial" w:cs="Arial"/>
                <w:sz w:val="20"/>
                <w:szCs w:val="20"/>
              </w:rPr>
              <w:t>Electricity, gas, steam and air conditioning supply</w:t>
            </w:r>
          </w:p>
        </w:tc>
        <w:tc>
          <w:tcPr>
            <w:tcW w:w="2069" w:type="dxa"/>
            <w:shd w:val="clear" w:color="auto" w:fill="auto"/>
            <w:vAlign w:val="center"/>
          </w:tcPr>
          <w:p w:rsidR="00AB5831" w:rsidRPr="006D05D2" w:rsidRDefault="00AB5831" w:rsidP="001F761F">
            <w:pPr>
              <w:pStyle w:val="BodyText2"/>
              <w:tabs>
                <w:tab w:val="right" w:pos="219"/>
                <w:tab w:val="right" w:pos="885"/>
              </w:tabs>
              <w:bidi w:val="0"/>
              <w:spacing w:after="0" w:line="240" w:lineRule="auto"/>
              <w:rPr>
                <w:rFonts w:ascii="Arial" w:hAnsi="Arial" w:cs="Arial"/>
                <w:sz w:val="20"/>
                <w:szCs w:val="20"/>
              </w:rPr>
            </w:pPr>
            <w:r w:rsidRPr="006D05D2">
              <w:rPr>
                <w:rFonts w:ascii="Arial" w:hAnsi="Arial" w:cs="Arial"/>
                <w:sz w:val="20"/>
                <w:szCs w:val="20"/>
              </w:rPr>
              <w:t xml:space="preserve">             </w:t>
            </w:r>
            <w:r w:rsidR="001F761F" w:rsidRPr="006D05D2">
              <w:rPr>
                <w:rFonts w:ascii="Arial" w:hAnsi="Arial" w:cs="Arial"/>
                <w:sz w:val="20"/>
                <w:szCs w:val="20"/>
              </w:rPr>
              <w:t>+</w:t>
            </w:r>
            <w:r w:rsidRPr="006D05D2">
              <w:rPr>
                <w:rFonts w:ascii="Arial" w:hAnsi="Arial" w:cs="Arial"/>
                <w:sz w:val="20"/>
                <w:szCs w:val="20"/>
              </w:rPr>
              <w:t xml:space="preserve"> </w:t>
            </w:r>
            <w:r w:rsidR="001F761F" w:rsidRPr="006D05D2">
              <w:rPr>
                <w:rFonts w:ascii="Arial" w:hAnsi="Arial" w:cs="Arial"/>
                <w:sz w:val="20"/>
                <w:szCs w:val="20"/>
              </w:rPr>
              <w:t>1</w:t>
            </w:r>
            <w:r w:rsidRPr="006D05D2">
              <w:rPr>
                <w:rFonts w:ascii="Arial" w:hAnsi="Arial" w:cs="Arial"/>
                <w:sz w:val="20"/>
                <w:szCs w:val="20"/>
              </w:rPr>
              <w:t>.</w:t>
            </w:r>
            <w:r w:rsidR="001F761F" w:rsidRPr="006D05D2">
              <w:rPr>
                <w:rFonts w:ascii="Arial" w:hAnsi="Arial" w:cs="Arial"/>
                <w:sz w:val="20"/>
                <w:szCs w:val="20"/>
              </w:rPr>
              <w:t>71</w:t>
            </w:r>
            <w:r w:rsidRPr="006D05D2">
              <w:rPr>
                <w:rFonts w:ascii="Arial" w:hAnsi="Arial" w:cs="Arial"/>
                <w:sz w:val="20"/>
                <w:szCs w:val="20"/>
              </w:rPr>
              <w:t>%</w:t>
            </w:r>
          </w:p>
        </w:tc>
      </w:tr>
    </w:tbl>
    <w:p w:rsidR="00EA74CA" w:rsidRPr="006D05D2" w:rsidRDefault="00EA74CA" w:rsidP="008A77E1">
      <w:pPr>
        <w:pStyle w:val="NormalWeb"/>
        <w:spacing w:after="0"/>
        <w:rPr>
          <w:rFonts w:ascii="Arial" w:hAnsi="Arial" w:cs="Arial"/>
          <w:b/>
          <w:bCs/>
          <w:color w:val="FF0000"/>
          <w:sz w:val="20"/>
          <w:szCs w:val="20"/>
        </w:rPr>
      </w:pPr>
      <w:r w:rsidRPr="006D05D2">
        <w:rPr>
          <w:rFonts w:ascii="Arial" w:hAnsi="Arial" w:cs="Arial"/>
          <w:b/>
          <w:bCs/>
          <w:color w:val="FF0000"/>
          <w:sz w:val="20"/>
          <w:szCs w:val="20"/>
        </w:rPr>
        <w:t>Notice for Users:</w:t>
      </w:r>
    </w:p>
    <w:p w:rsidR="00EA74CA" w:rsidRPr="006D05D2" w:rsidRDefault="00464086" w:rsidP="001F761F">
      <w:pPr>
        <w:numPr>
          <w:ilvl w:val="0"/>
          <w:numId w:val="13"/>
        </w:numPr>
        <w:bidi w:val="0"/>
        <w:spacing w:before="100" w:beforeAutospacing="1"/>
        <w:ind w:left="284" w:hanging="284"/>
        <w:jc w:val="both"/>
        <w:rPr>
          <w:rFonts w:ascii="Arial" w:hAnsi="Arial" w:cs="Arial"/>
          <w:sz w:val="20"/>
          <w:szCs w:val="20"/>
          <w:lang w:eastAsia="en-US"/>
        </w:rPr>
      </w:pPr>
      <w:r w:rsidRPr="006D05D2">
        <w:rPr>
          <w:rFonts w:ascii="Arial" w:hAnsi="Arial" w:cs="Arial"/>
          <w:sz w:val="20"/>
          <w:szCs w:val="20"/>
          <w:lang w:eastAsia="en-US"/>
        </w:rPr>
        <w:t xml:space="preserve">The data collection process for agricultural commodities, which </w:t>
      </w:r>
      <w:proofErr w:type="gramStart"/>
      <w:r w:rsidRPr="006D05D2">
        <w:rPr>
          <w:rFonts w:ascii="Arial" w:hAnsi="Arial" w:cs="Arial"/>
          <w:sz w:val="20"/>
          <w:szCs w:val="20"/>
          <w:lang w:eastAsia="en-US"/>
        </w:rPr>
        <w:t>was collected</w:t>
      </w:r>
      <w:proofErr w:type="gramEnd"/>
      <w:r w:rsidRPr="006D05D2">
        <w:rPr>
          <w:rFonts w:ascii="Arial" w:hAnsi="Arial" w:cs="Arial"/>
          <w:sz w:val="20"/>
          <w:szCs w:val="20"/>
          <w:lang w:eastAsia="en-US"/>
        </w:rPr>
        <w:t xml:space="preserve"> in the same reference month,</w:t>
      </w:r>
      <w:r w:rsidR="004A7494" w:rsidRPr="006D05D2">
        <w:rPr>
          <w:rFonts w:ascii="Arial" w:hAnsi="Arial" w:cs="Arial"/>
          <w:sz w:val="20"/>
          <w:szCs w:val="20"/>
          <w:lang w:eastAsia="en-US"/>
        </w:rPr>
        <w:t xml:space="preserve"> was complete for the West Bank.</w:t>
      </w:r>
      <w:r w:rsidRPr="006D05D2">
        <w:rPr>
          <w:rFonts w:ascii="Arial" w:hAnsi="Arial" w:cs="Arial"/>
          <w:sz w:val="20"/>
          <w:szCs w:val="20"/>
          <w:lang w:eastAsia="en-US"/>
        </w:rPr>
        <w:t xml:space="preserve"> Due to the Israeli occupation aggression against Gaza Strip since </w:t>
      </w:r>
      <w:r w:rsidR="009167A3" w:rsidRPr="006D05D2">
        <w:rPr>
          <w:rFonts w:ascii="Arial" w:hAnsi="Arial" w:cs="Arial"/>
          <w:sz w:val="20"/>
          <w:szCs w:val="20"/>
          <w:lang w:eastAsia="en-US"/>
        </w:rPr>
        <w:t>October</w:t>
      </w:r>
      <w:r w:rsidRPr="006D05D2">
        <w:rPr>
          <w:rFonts w:ascii="Arial" w:hAnsi="Arial" w:cs="Arial"/>
          <w:sz w:val="20"/>
          <w:szCs w:val="20"/>
          <w:lang w:eastAsia="en-US"/>
        </w:rPr>
        <w:t xml:space="preserve"> </w:t>
      </w:r>
      <w:proofErr w:type="gramStart"/>
      <w:r w:rsidRPr="006D05D2">
        <w:rPr>
          <w:rFonts w:ascii="Arial" w:hAnsi="Arial" w:cs="Arial"/>
          <w:sz w:val="20"/>
          <w:szCs w:val="20"/>
          <w:lang w:eastAsia="en-US"/>
        </w:rPr>
        <w:t>7th</w:t>
      </w:r>
      <w:proofErr w:type="gramEnd"/>
      <w:r w:rsidRPr="006D05D2">
        <w:rPr>
          <w:rFonts w:ascii="Arial" w:hAnsi="Arial" w:cs="Arial"/>
          <w:sz w:val="20"/>
          <w:szCs w:val="20"/>
          <w:lang w:eastAsia="en-US"/>
        </w:rPr>
        <w:t xml:space="preserve">, </w:t>
      </w:r>
      <w:r w:rsidR="00B26413" w:rsidRPr="006D05D2">
        <w:rPr>
          <w:rFonts w:ascii="Arial" w:hAnsi="Arial" w:cs="Arial"/>
          <w:sz w:val="20"/>
          <w:szCs w:val="20"/>
          <w:lang w:eastAsia="en-US"/>
        </w:rPr>
        <w:t>2023</w:t>
      </w:r>
      <w:r w:rsidRPr="006D05D2">
        <w:rPr>
          <w:rFonts w:ascii="Arial" w:hAnsi="Arial" w:cs="Arial"/>
          <w:sz w:val="20"/>
          <w:szCs w:val="20"/>
          <w:lang w:eastAsia="en-US"/>
        </w:rPr>
        <w:t xml:space="preserve">, the data for </w:t>
      </w:r>
      <w:r w:rsidR="001F761F" w:rsidRPr="006D05D2">
        <w:rPr>
          <w:rFonts w:ascii="Arial" w:hAnsi="Arial" w:cs="Arial"/>
          <w:sz w:val="20"/>
          <w:szCs w:val="20"/>
          <w:lang w:eastAsia="en-US"/>
        </w:rPr>
        <w:t>January</w:t>
      </w:r>
      <w:r w:rsidRPr="006D05D2">
        <w:rPr>
          <w:rFonts w:ascii="Arial" w:hAnsi="Arial" w:cs="Arial"/>
          <w:sz w:val="20"/>
          <w:szCs w:val="20"/>
          <w:lang w:eastAsia="en-US"/>
        </w:rPr>
        <w:t xml:space="preserve"> </w:t>
      </w:r>
      <w:r w:rsidR="001F761F" w:rsidRPr="006D05D2">
        <w:rPr>
          <w:rFonts w:ascii="Arial" w:hAnsi="Arial" w:cs="Arial"/>
          <w:sz w:val="20"/>
          <w:szCs w:val="20"/>
          <w:lang w:eastAsia="en-US"/>
        </w:rPr>
        <w:t>2025</w:t>
      </w:r>
      <w:r w:rsidRPr="006D05D2">
        <w:rPr>
          <w:rFonts w:ascii="Arial" w:hAnsi="Arial" w:cs="Arial"/>
          <w:sz w:val="20"/>
          <w:szCs w:val="20"/>
          <w:lang w:eastAsia="en-US"/>
        </w:rPr>
        <w:t xml:space="preserve">, were collected through direct phone contact with PCBS fieldworkers working in Gaza Strip focusing on high relative importance within the main major groups in the </w:t>
      </w:r>
      <w:r w:rsidR="000E4BDB" w:rsidRPr="006D05D2">
        <w:rPr>
          <w:rFonts w:ascii="Arial" w:hAnsi="Arial" w:cs="Arial"/>
          <w:sz w:val="20"/>
          <w:szCs w:val="20"/>
          <w:lang w:eastAsia="en-US"/>
        </w:rPr>
        <w:t>producer</w:t>
      </w:r>
      <w:r w:rsidRPr="006D05D2">
        <w:rPr>
          <w:rFonts w:ascii="Arial" w:hAnsi="Arial" w:cs="Arial"/>
          <w:sz w:val="20"/>
          <w:szCs w:val="20"/>
          <w:lang w:eastAsia="en-US"/>
        </w:rPr>
        <w:t xml:space="preserve"> price index.</w:t>
      </w:r>
    </w:p>
    <w:p w:rsidR="00646670" w:rsidRPr="006D05D2" w:rsidRDefault="00B9567D" w:rsidP="001F761F">
      <w:pPr>
        <w:numPr>
          <w:ilvl w:val="0"/>
          <w:numId w:val="13"/>
        </w:numPr>
        <w:bidi w:val="0"/>
        <w:spacing w:before="100" w:beforeAutospacing="1"/>
        <w:ind w:left="284" w:hanging="284"/>
        <w:jc w:val="both"/>
        <w:rPr>
          <w:rFonts w:ascii="Arial" w:hAnsi="Arial" w:cs="Arial"/>
          <w:sz w:val="20"/>
          <w:szCs w:val="20"/>
          <w:lang w:eastAsia="en-US"/>
        </w:rPr>
      </w:pPr>
      <w:r w:rsidRPr="006D05D2">
        <w:rPr>
          <w:rFonts w:ascii="Arial" w:hAnsi="Arial" w:cs="Arial"/>
          <w:sz w:val="20"/>
          <w:szCs w:val="20"/>
          <w:lang w:eastAsia="en-US"/>
        </w:rPr>
        <w:t xml:space="preserve">The process of collecting data on industrial goods for the West Bank sample of industrial establishments was complete for </w:t>
      </w:r>
      <w:r w:rsidR="001F761F" w:rsidRPr="006D05D2">
        <w:rPr>
          <w:rFonts w:ascii="Arial" w:hAnsi="Arial" w:cs="Arial"/>
          <w:sz w:val="20"/>
          <w:szCs w:val="20"/>
          <w:lang w:eastAsia="en-US"/>
        </w:rPr>
        <w:t>January 2025</w:t>
      </w:r>
      <w:r w:rsidRPr="006D05D2">
        <w:rPr>
          <w:rFonts w:ascii="Arial" w:hAnsi="Arial" w:cs="Arial"/>
          <w:sz w:val="20"/>
          <w:szCs w:val="20"/>
          <w:lang w:eastAsia="en-US"/>
        </w:rPr>
        <w:t xml:space="preserve">, while in Gaza Strip; the data of all industrial establishments </w:t>
      </w:r>
      <w:proofErr w:type="gramStart"/>
      <w:r w:rsidRPr="006D05D2">
        <w:rPr>
          <w:rFonts w:ascii="Arial" w:hAnsi="Arial" w:cs="Arial"/>
          <w:sz w:val="20"/>
          <w:szCs w:val="20"/>
          <w:lang w:eastAsia="en-US"/>
        </w:rPr>
        <w:t>was estimated</w:t>
      </w:r>
      <w:proofErr w:type="gramEnd"/>
      <w:r w:rsidRPr="006D05D2">
        <w:rPr>
          <w:rFonts w:ascii="Arial" w:hAnsi="Arial" w:cs="Arial"/>
          <w:sz w:val="20"/>
          <w:szCs w:val="20"/>
          <w:lang w:eastAsia="en-US"/>
        </w:rPr>
        <w:t xml:space="preserve"> due to the accelerated Israeli escalation witnessed in Gaza Strip on </w:t>
      </w:r>
      <w:r w:rsidR="009167A3" w:rsidRPr="006D05D2">
        <w:rPr>
          <w:rFonts w:ascii="Arial" w:hAnsi="Arial" w:cs="Arial"/>
          <w:sz w:val="20"/>
          <w:szCs w:val="20"/>
          <w:lang w:eastAsia="en-US"/>
        </w:rPr>
        <w:t>October</w:t>
      </w:r>
      <w:r w:rsidR="00C5056D" w:rsidRPr="006D05D2">
        <w:rPr>
          <w:rFonts w:ascii="Arial" w:hAnsi="Arial" w:cs="Arial"/>
          <w:sz w:val="20"/>
          <w:szCs w:val="20"/>
          <w:lang w:eastAsia="en-US"/>
        </w:rPr>
        <w:t xml:space="preserve"> 7 </w:t>
      </w:r>
      <w:r w:rsidRPr="006D05D2">
        <w:rPr>
          <w:rFonts w:ascii="Arial" w:hAnsi="Arial" w:cs="Arial"/>
          <w:sz w:val="20"/>
          <w:szCs w:val="20"/>
          <w:lang w:eastAsia="en-US"/>
        </w:rPr>
        <w:t xml:space="preserve">during </w:t>
      </w:r>
      <w:r w:rsidR="00B26413" w:rsidRPr="006D05D2">
        <w:rPr>
          <w:rFonts w:ascii="Arial" w:hAnsi="Arial" w:cs="Arial"/>
          <w:sz w:val="20"/>
          <w:szCs w:val="20"/>
          <w:lang w:eastAsia="en-US"/>
        </w:rPr>
        <w:t>2023</w:t>
      </w:r>
      <w:r w:rsidRPr="006D05D2">
        <w:rPr>
          <w:rFonts w:ascii="Arial" w:hAnsi="Arial" w:cs="Arial"/>
          <w:sz w:val="20"/>
          <w:szCs w:val="20"/>
          <w:lang w:eastAsia="en-US"/>
        </w:rPr>
        <w:t xml:space="preserve"> against all aspects of society</w:t>
      </w:r>
      <w:r w:rsidR="00EA74CA" w:rsidRPr="006D05D2">
        <w:rPr>
          <w:rFonts w:ascii="Arial" w:hAnsi="Arial" w:cs="Arial"/>
          <w:sz w:val="20"/>
          <w:szCs w:val="20"/>
          <w:lang w:eastAsia="en-US"/>
        </w:rPr>
        <w:t>.</w:t>
      </w:r>
    </w:p>
    <w:p w:rsidR="00EA74CA" w:rsidRPr="006D05D2" w:rsidRDefault="00EA74CA" w:rsidP="00646670">
      <w:pPr>
        <w:numPr>
          <w:ilvl w:val="0"/>
          <w:numId w:val="13"/>
        </w:numPr>
        <w:bidi w:val="0"/>
        <w:spacing w:before="100" w:beforeAutospacing="1"/>
        <w:ind w:left="284" w:hanging="284"/>
        <w:jc w:val="both"/>
        <w:rPr>
          <w:rFonts w:ascii="Arial" w:hAnsi="Arial" w:cs="Arial"/>
          <w:sz w:val="20"/>
          <w:szCs w:val="20"/>
          <w:lang w:eastAsia="en-US"/>
        </w:rPr>
      </w:pPr>
      <w:r w:rsidRPr="006D05D2">
        <w:rPr>
          <w:rFonts w:ascii="Arial" w:hAnsi="Arial" w:cs="Arial"/>
          <w:sz w:val="20"/>
          <w:szCs w:val="20"/>
          <w:lang w:eastAsia="en-US"/>
        </w:rPr>
        <w:t xml:space="preserve">International recommendations </w:t>
      </w:r>
      <w:proofErr w:type="gramStart"/>
      <w:r w:rsidRPr="006D05D2">
        <w:rPr>
          <w:rFonts w:ascii="Arial" w:hAnsi="Arial" w:cs="Arial"/>
          <w:sz w:val="20"/>
          <w:szCs w:val="20"/>
          <w:lang w:eastAsia="en-US"/>
        </w:rPr>
        <w:t>were followed</w:t>
      </w:r>
      <w:proofErr w:type="gramEnd"/>
      <w:r w:rsidRPr="006D05D2">
        <w:rPr>
          <w:rFonts w:ascii="Arial" w:hAnsi="Arial" w:cs="Arial"/>
          <w:sz w:val="20"/>
          <w:szCs w:val="20"/>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6D05D2">
        <w:rPr>
          <w:rFonts w:ascii="Arial" w:hAnsi="Arial" w:cs="Arial"/>
          <w:sz w:val="20"/>
          <w:szCs w:val="20"/>
          <w:lang w:eastAsia="en-US"/>
        </w:rPr>
        <w:t>are estimated</w:t>
      </w:r>
      <w:proofErr w:type="gramEnd"/>
      <w:r w:rsidRPr="006D05D2">
        <w:rPr>
          <w:rFonts w:ascii="Arial" w:hAnsi="Arial" w:cs="Arial"/>
          <w:sz w:val="20"/>
          <w:szCs w:val="20"/>
          <w:lang w:eastAsia="en-US"/>
        </w:rPr>
        <w:t xml:space="preserve"> based on the change in the prices of the sources that share the same items, which are collected from that source.</w:t>
      </w:r>
    </w:p>
    <w:p w:rsidR="0087065E" w:rsidRPr="006D05D2" w:rsidRDefault="00EA74CA" w:rsidP="003C54FC">
      <w:pPr>
        <w:numPr>
          <w:ilvl w:val="0"/>
          <w:numId w:val="13"/>
        </w:numPr>
        <w:bidi w:val="0"/>
        <w:spacing w:before="100" w:beforeAutospacing="1"/>
        <w:ind w:left="284" w:hanging="284"/>
        <w:jc w:val="both"/>
        <w:rPr>
          <w:rFonts w:ascii="Arial" w:hAnsi="Arial" w:cs="Arial"/>
          <w:sz w:val="20"/>
          <w:szCs w:val="20"/>
          <w:lang w:eastAsia="en-US"/>
        </w:rPr>
      </w:pPr>
      <w:r w:rsidRPr="006D05D2">
        <w:rPr>
          <w:rFonts w:ascii="Arial" w:hAnsi="Arial" w:cs="Arial"/>
          <w:sz w:val="20"/>
          <w:szCs w:val="20"/>
          <w:lang w:eastAsia="en-US"/>
        </w:rPr>
        <w:t xml:space="preserve">The estimate </w:t>
      </w:r>
      <w:proofErr w:type="gramStart"/>
      <w:r w:rsidRPr="006D05D2">
        <w:rPr>
          <w:rFonts w:ascii="Arial" w:hAnsi="Arial" w:cs="Arial"/>
          <w:sz w:val="20"/>
          <w:szCs w:val="20"/>
          <w:lang w:eastAsia="en-US"/>
        </w:rPr>
        <w:t>is also used</w:t>
      </w:r>
      <w:proofErr w:type="gramEnd"/>
      <w:r w:rsidRPr="006D05D2">
        <w:rPr>
          <w:rFonts w:ascii="Arial" w:hAnsi="Arial" w:cs="Arial"/>
          <w:sz w:val="20"/>
          <w:szCs w:val="20"/>
          <w:lang w:eastAsia="en-US"/>
        </w:rPr>
        <w:t xml:space="preserve"> at the (Next Level Up in Aggregatio</w:t>
      </w:r>
      <w:r w:rsidR="00646670" w:rsidRPr="006D05D2">
        <w:rPr>
          <w:rFonts w:ascii="Arial" w:hAnsi="Arial" w:cs="Arial"/>
          <w:sz w:val="20"/>
          <w:szCs w:val="20"/>
          <w:lang w:eastAsia="en-US"/>
        </w:rPr>
        <w:t>n) in case of the disappearance</w:t>
      </w:r>
      <w:r w:rsidRPr="006D05D2">
        <w:rPr>
          <w:rFonts w:ascii="Arial" w:hAnsi="Arial" w:cs="Arial"/>
          <w:sz w:val="20"/>
          <w:szCs w:val="20"/>
          <w:lang w:eastAsia="en-US"/>
        </w:rPr>
        <w:t xml:space="preserve"> of the index for a whole sub-group or a higher group reaching up to the major groups that constitute the index.</w:t>
      </w:r>
    </w:p>
    <w:p w:rsidR="002B4A04" w:rsidRPr="006D05D2" w:rsidRDefault="002B4A04" w:rsidP="008A77E1">
      <w:pPr>
        <w:bidi w:val="0"/>
        <w:jc w:val="both"/>
        <w:rPr>
          <w:rFonts w:ascii="Arial" w:hAnsi="Arial" w:cs="Arial"/>
          <w:b/>
          <w:bCs/>
          <w:sz w:val="20"/>
          <w:szCs w:val="20"/>
        </w:rPr>
      </w:pPr>
    </w:p>
    <w:sectPr w:rsidR="002B4A04" w:rsidRPr="006D05D2" w:rsidSect="00CB43E2">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C2" w:rsidRDefault="00631FC2">
      <w:r>
        <w:separator/>
      </w:r>
    </w:p>
  </w:endnote>
  <w:endnote w:type="continuationSeparator" w:id="0">
    <w:p w:rsidR="00631FC2" w:rsidRDefault="0063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C2" w:rsidRDefault="00631FC2">
      <w:r>
        <w:separator/>
      </w:r>
    </w:p>
  </w:footnote>
  <w:footnote w:type="continuationSeparator" w:id="0">
    <w:p w:rsidR="00631FC2" w:rsidRDefault="00631FC2">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AAD"/>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61D1"/>
    <w:rsid w:val="00506399"/>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1FC2"/>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05D2"/>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63CC"/>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6E5"/>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A7830"/>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43E2"/>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4A13"/>
    <w:rsid w:val="00DA4C17"/>
    <w:rsid w:val="00DA5EA4"/>
    <w:rsid w:val="00DA6141"/>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3AC2"/>
    <w:rsid w:val="00E05DAB"/>
    <w:rsid w:val="00E140CB"/>
    <w:rsid w:val="00E144EC"/>
    <w:rsid w:val="00E149C1"/>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1C0"/>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0C3D"/>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5C4001-D4CC-42E8-88FD-3698D08D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119028915">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2F73-EE15-4F14-B3FD-5249D9FF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Osaid Makhalfih</cp:lastModifiedBy>
  <cp:revision>2</cp:revision>
  <cp:lastPrinted>2025-01-26T10:16:00Z</cp:lastPrinted>
  <dcterms:created xsi:type="dcterms:W3CDTF">2025-02-27T07:25:00Z</dcterms:created>
  <dcterms:modified xsi:type="dcterms:W3CDTF">2025-02-27T07:25:00Z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