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15" w:rsidRPr="007B3B4B" w:rsidRDefault="00EE2790" w:rsidP="00897AA7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B3B4B">
        <w:rPr>
          <w:b/>
          <w:bCs/>
          <w:sz w:val="32"/>
          <w:szCs w:val="32"/>
        </w:rPr>
        <w:t xml:space="preserve">The </w:t>
      </w:r>
      <w:r w:rsidR="00893515" w:rsidRPr="007B3B4B">
        <w:rPr>
          <w:b/>
          <w:bCs/>
          <w:sz w:val="32"/>
          <w:szCs w:val="32"/>
        </w:rPr>
        <w:t xml:space="preserve">Palestinian Central Bureau of Statistics (PCBS) </w:t>
      </w:r>
      <w:r w:rsidRPr="007B3B4B">
        <w:rPr>
          <w:b/>
          <w:bCs/>
          <w:sz w:val="32"/>
          <w:szCs w:val="32"/>
        </w:rPr>
        <w:t xml:space="preserve">issues a press release </w:t>
      </w:r>
      <w:r w:rsidR="00893515" w:rsidRPr="007B3B4B">
        <w:rPr>
          <w:b/>
          <w:bCs/>
          <w:sz w:val="32"/>
          <w:szCs w:val="32"/>
        </w:rPr>
        <w:t xml:space="preserve">on the </w:t>
      </w:r>
      <w:r w:rsidR="00B3389A" w:rsidRPr="007B3B4B">
        <w:rPr>
          <w:b/>
          <w:bCs/>
          <w:sz w:val="32"/>
          <w:szCs w:val="32"/>
        </w:rPr>
        <w:t xml:space="preserve">occasion </w:t>
      </w:r>
      <w:r w:rsidR="00893515" w:rsidRPr="007B3B4B">
        <w:rPr>
          <w:b/>
          <w:bCs/>
          <w:sz w:val="32"/>
          <w:szCs w:val="32"/>
        </w:rPr>
        <w:t xml:space="preserve">of </w:t>
      </w:r>
      <w:r w:rsidR="00B3389A" w:rsidRPr="007B3B4B">
        <w:rPr>
          <w:b/>
          <w:bCs/>
          <w:sz w:val="32"/>
          <w:szCs w:val="32"/>
        </w:rPr>
        <w:t xml:space="preserve">the </w:t>
      </w:r>
      <w:r w:rsidR="00893515" w:rsidRPr="007B3B4B">
        <w:rPr>
          <w:b/>
          <w:bCs/>
          <w:sz w:val="32"/>
          <w:szCs w:val="32"/>
        </w:rPr>
        <w:t>World Habitat D</w:t>
      </w:r>
      <w:r w:rsidR="00C0733E" w:rsidRPr="007B3B4B">
        <w:rPr>
          <w:b/>
          <w:bCs/>
          <w:sz w:val="32"/>
          <w:szCs w:val="32"/>
        </w:rPr>
        <w:t>ay and Arab Housing Day Titled:</w:t>
      </w:r>
      <w:r w:rsidR="00FE092A" w:rsidRPr="007B3B4B">
        <w:rPr>
          <w:b/>
          <w:bCs/>
          <w:sz w:val="32"/>
          <w:szCs w:val="32"/>
        </w:rPr>
        <w:t xml:space="preserve"> </w:t>
      </w:r>
      <w:r w:rsidR="00893515" w:rsidRPr="007B3B4B">
        <w:rPr>
          <w:b/>
          <w:bCs/>
          <w:sz w:val="32"/>
          <w:szCs w:val="32"/>
        </w:rPr>
        <w:t>"</w:t>
      </w:r>
      <w:r w:rsidR="00FE092A" w:rsidRPr="007B3B4B">
        <w:rPr>
          <w:b/>
          <w:bCs/>
          <w:sz w:val="32"/>
          <w:szCs w:val="32"/>
        </w:rPr>
        <w:t>Enhancing Participation and Transparency in Urban Planning</w:t>
      </w:r>
      <w:r w:rsidR="00893515" w:rsidRPr="007B3B4B">
        <w:rPr>
          <w:b/>
          <w:bCs/>
          <w:sz w:val="32"/>
          <w:szCs w:val="32"/>
        </w:rPr>
        <w:t>"</w:t>
      </w:r>
    </w:p>
    <w:p w:rsidR="00893515" w:rsidRPr="00CD6C49" w:rsidRDefault="00893515" w:rsidP="008F603E">
      <w:pPr>
        <w:pStyle w:val="BodyText3"/>
        <w:ind w:right="1"/>
        <w:jc w:val="both"/>
        <w:rPr>
          <w:rFonts w:cs="Times New Roman"/>
        </w:rPr>
      </w:pPr>
    </w:p>
    <w:p w:rsidR="00893515" w:rsidRPr="007B3B4B" w:rsidRDefault="00893515" w:rsidP="00B3389A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The first Monday of October of each year coincides with the </w:t>
      </w:r>
      <w:r w:rsidRPr="007B3B4B">
        <w:rPr>
          <w:b/>
          <w:bCs/>
          <w:sz w:val="26"/>
          <w:szCs w:val="26"/>
        </w:rPr>
        <w:t>World Habitat Day</w:t>
      </w:r>
      <w:r w:rsidRPr="007B3B4B">
        <w:rPr>
          <w:sz w:val="26"/>
          <w:szCs w:val="26"/>
        </w:rPr>
        <w:t xml:space="preserve">, </w:t>
      </w:r>
      <w:r w:rsidR="00F911C5" w:rsidRPr="007B3B4B">
        <w:rPr>
          <w:sz w:val="26"/>
          <w:szCs w:val="26"/>
        </w:rPr>
        <w:t xml:space="preserve">decided by </w:t>
      </w:r>
      <w:r w:rsidRPr="007B3B4B">
        <w:rPr>
          <w:sz w:val="26"/>
          <w:szCs w:val="26"/>
        </w:rPr>
        <w:t>the United Nations</w:t>
      </w:r>
      <w:r w:rsidR="00B3389A" w:rsidRPr="007B3B4B">
        <w:rPr>
          <w:sz w:val="26"/>
          <w:szCs w:val="26"/>
        </w:rPr>
        <w:t xml:space="preserve"> /</w:t>
      </w:r>
      <w:r w:rsidR="00F911C5" w:rsidRPr="007B3B4B">
        <w:rPr>
          <w:sz w:val="26"/>
          <w:szCs w:val="26"/>
        </w:rPr>
        <w:t xml:space="preserve"> UN-HABITAT</w:t>
      </w:r>
      <w:r w:rsidRPr="007B3B4B">
        <w:rPr>
          <w:sz w:val="26"/>
          <w:szCs w:val="26"/>
        </w:rPr>
        <w:t xml:space="preserve">, and the </w:t>
      </w:r>
      <w:r w:rsidRPr="007B3B4B">
        <w:rPr>
          <w:b/>
          <w:bCs/>
          <w:sz w:val="26"/>
          <w:szCs w:val="26"/>
        </w:rPr>
        <w:t>Arab Housing Day</w:t>
      </w:r>
      <w:r w:rsidRPr="007B3B4B">
        <w:rPr>
          <w:sz w:val="26"/>
          <w:szCs w:val="26"/>
        </w:rPr>
        <w:t>, based on the decision of the Council of Arab Ministers of Housing and Reconstruction. The Council decided the theme of the Arab Housing Day for 202</w:t>
      </w:r>
      <w:r w:rsidR="009C2A08" w:rsidRPr="007B3B4B">
        <w:rPr>
          <w:sz w:val="26"/>
          <w:szCs w:val="26"/>
        </w:rPr>
        <w:t>4</w:t>
      </w:r>
      <w:r w:rsidRPr="007B3B4B">
        <w:rPr>
          <w:sz w:val="26"/>
          <w:szCs w:val="26"/>
        </w:rPr>
        <w:t xml:space="preserve"> to be</w:t>
      </w:r>
      <w:r w:rsidRPr="007B3B4B">
        <w:rPr>
          <w:b/>
          <w:bCs/>
          <w:sz w:val="26"/>
          <w:szCs w:val="26"/>
        </w:rPr>
        <w:t xml:space="preserve"> "</w:t>
      </w:r>
      <w:r w:rsidR="00FE092A" w:rsidRPr="007B3B4B">
        <w:rPr>
          <w:b/>
          <w:bCs/>
          <w:sz w:val="26"/>
          <w:szCs w:val="26"/>
        </w:rPr>
        <w:t>Enhancing Participation and Transparency in Urban Planning</w:t>
      </w:r>
      <w:r w:rsidRPr="007B3B4B">
        <w:rPr>
          <w:b/>
          <w:bCs/>
          <w:sz w:val="26"/>
          <w:szCs w:val="26"/>
        </w:rPr>
        <w:t>"</w:t>
      </w:r>
      <w:r w:rsidRPr="007B3B4B">
        <w:rPr>
          <w:sz w:val="26"/>
          <w:szCs w:val="26"/>
        </w:rPr>
        <w:t>.</w:t>
      </w:r>
    </w:p>
    <w:p w:rsidR="00897AA7" w:rsidRPr="007B3B4B" w:rsidRDefault="00897AA7" w:rsidP="00897AA7">
      <w:pPr>
        <w:bidi w:val="0"/>
        <w:rPr>
          <w:sz w:val="16"/>
          <w:szCs w:val="16"/>
        </w:rPr>
      </w:pPr>
    </w:p>
    <w:p w:rsidR="00893515" w:rsidRPr="007B3B4B" w:rsidRDefault="00893515" w:rsidP="00F31456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On </w:t>
      </w:r>
      <w:r w:rsidR="00F31456" w:rsidRPr="007B3B4B">
        <w:rPr>
          <w:sz w:val="26"/>
          <w:szCs w:val="26"/>
        </w:rPr>
        <w:t>this occasion</w:t>
      </w:r>
      <w:r w:rsidRPr="007B3B4B">
        <w:rPr>
          <w:sz w:val="26"/>
          <w:szCs w:val="26"/>
        </w:rPr>
        <w:t>, PCBS presents the main indicators for housing and housing conditions in Palestine</w:t>
      </w:r>
      <w:r w:rsidR="00F046CB" w:rsidRPr="007B3B4B">
        <w:rPr>
          <w:sz w:val="26"/>
          <w:szCs w:val="26"/>
          <w:shd w:val="clear" w:color="auto" w:fill="FFFFFF"/>
        </w:rPr>
        <w:t xml:space="preserve"> that are</w:t>
      </w:r>
      <w:r w:rsidRPr="007B3B4B">
        <w:rPr>
          <w:sz w:val="26"/>
          <w:szCs w:val="26"/>
          <w:shd w:val="clear" w:color="auto" w:fill="FFFFFF"/>
        </w:rPr>
        <w:t xml:space="preserve"> related to </w:t>
      </w:r>
      <w:r w:rsidR="002603DA" w:rsidRPr="007B3B4B">
        <w:rPr>
          <w:sz w:val="26"/>
          <w:szCs w:val="26"/>
          <w:shd w:val="clear" w:color="auto" w:fill="FFFFFF"/>
        </w:rPr>
        <w:t xml:space="preserve">the </w:t>
      </w:r>
      <w:r w:rsidRPr="007B3B4B">
        <w:rPr>
          <w:sz w:val="26"/>
          <w:szCs w:val="26"/>
          <w:shd w:val="clear" w:color="auto" w:fill="FFFFFF"/>
        </w:rPr>
        <w:t>Sustainable Development Indicators.</w:t>
      </w:r>
    </w:p>
    <w:p w:rsidR="00897AA7" w:rsidRPr="006E599B" w:rsidRDefault="00897AA7" w:rsidP="00897AA7">
      <w:pPr>
        <w:pStyle w:val="BodyText3"/>
        <w:ind w:right="1"/>
        <w:jc w:val="both"/>
        <w:rPr>
          <w:rFonts w:cs="Times New Roman"/>
          <w:sz w:val="16"/>
          <w:szCs w:val="16"/>
        </w:rPr>
      </w:pPr>
    </w:p>
    <w:p w:rsidR="00F911C5" w:rsidRPr="00897AA7" w:rsidRDefault="00F911C5" w:rsidP="00897AA7">
      <w:pPr>
        <w:pStyle w:val="BodyText3"/>
        <w:ind w:right="1"/>
        <w:jc w:val="both"/>
        <w:rPr>
          <w:rFonts w:cs="Times New Roman"/>
          <w:sz w:val="26"/>
          <w:szCs w:val="26"/>
        </w:rPr>
      </w:pPr>
      <w:r w:rsidRPr="00897AA7">
        <w:rPr>
          <w:rFonts w:cs="Times New Roman"/>
          <w:sz w:val="26"/>
          <w:szCs w:val="26"/>
        </w:rPr>
        <w:t xml:space="preserve">384,000 Housing Units </w:t>
      </w:r>
      <w:r w:rsidR="002603DA" w:rsidRPr="00897AA7">
        <w:rPr>
          <w:rFonts w:cs="Times New Roman"/>
          <w:sz w:val="26"/>
          <w:szCs w:val="26"/>
        </w:rPr>
        <w:t xml:space="preserve">were </w:t>
      </w:r>
      <w:r w:rsidRPr="00897AA7">
        <w:rPr>
          <w:rFonts w:cs="Times New Roman"/>
          <w:sz w:val="26"/>
          <w:szCs w:val="26"/>
        </w:rPr>
        <w:t xml:space="preserve">Damaged </w:t>
      </w:r>
      <w:r w:rsidR="00EE2790" w:rsidRPr="00897AA7">
        <w:rPr>
          <w:rFonts w:cs="Times New Roman"/>
          <w:sz w:val="26"/>
          <w:szCs w:val="26"/>
        </w:rPr>
        <w:t xml:space="preserve">as </w:t>
      </w:r>
      <w:r w:rsidRPr="00897AA7">
        <w:rPr>
          <w:rFonts w:cs="Times New Roman"/>
          <w:sz w:val="26"/>
          <w:szCs w:val="26"/>
        </w:rPr>
        <w:t xml:space="preserve">a result of the Israeli Occupation Aggression </w:t>
      </w:r>
      <w:r w:rsidR="004015A9" w:rsidRPr="00897AA7">
        <w:rPr>
          <w:rFonts w:cs="Times New Roman"/>
          <w:sz w:val="26"/>
          <w:szCs w:val="26"/>
        </w:rPr>
        <w:t xml:space="preserve">against </w:t>
      </w:r>
      <w:r w:rsidRPr="00897AA7">
        <w:rPr>
          <w:rFonts w:cs="Times New Roman"/>
          <w:sz w:val="26"/>
          <w:szCs w:val="26"/>
        </w:rPr>
        <w:t xml:space="preserve">Gaza Strip </w:t>
      </w:r>
    </w:p>
    <w:p w:rsidR="00F911C5" w:rsidRPr="006E599B" w:rsidRDefault="00F911C5" w:rsidP="000D022D">
      <w:pPr>
        <w:pStyle w:val="BodyText3"/>
        <w:ind w:right="1"/>
        <w:rPr>
          <w:rFonts w:cs="Times New Roman"/>
          <w:b w:val="0"/>
          <w:bCs w:val="0"/>
          <w:sz w:val="26"/>
          <w:szCs w:val="26"/>
        </w:rPr>
      </w:pPr>
      <w:r w:rsidRPr="006E599B">
        <w:rPr>
          <w:rFonts w:cs="Times New Roman"/>
          <w:b w:val="0"/>
          <w:bCs w:val="0"/>
          <w:sz w:val="26"/>
          <w:szCs w:val="26"/>
        </w:rPr>
        <w:t xml:space="preserve">The number of housing units partially damaged as a result of the Israeli aggression </w:t>
      </w:r>
      <w:r w:rsidR="004015A9" w:rsidRPr="006E599B">
        <w:rPr>
          <w:rFonts w:cs="Times New Roman"/>
          <w:b w:val="0"/>
          <w:bCs w:val="0"/>
          <w:sz w:val="26"/>
          <w:szCs w:val="26"/>
        </w:rPr>
        <w:t xml:space="preserve">against </w:t>
      </w:r>
      <w:r w:rsidRPr="006E599B">
        <w:rPr>
          <w:rFonts w:cs="Times New Roman"/>
          <w:b w:val="0"/>
          <w:bCs w:val="0"/>
          <w:sz w:val="26"/>
          <w:szCs w:val="26"/>
        </w:rPr>
        <w:t>Gaza Strip since 07/10/2023 amounted to about 297,000 housing units, while the completely demolished housing units amounted to 87,000 housing units, according to data publi</w:t>
      </w:r>
      <w:r w:rsidR="00056348" w:rsidRPr="006E599B">
        <w:rPr>
          <w:rFonts w:cs="Times New Roman"/>
          <w:b w:val="0"/>
          <w:bCs w:val="0"/>
          <w:sz w:val="26"/>
          <w:szCs w:val="26"/>
        </w:rPr>
        <w:t>shed on PCBS website about</w:t>
      </w:r>
      <w:r w:rsidR="00EE2790" w:rsidRPr="006E599B">
        <w:rPr>
          <w:rFonts w:cs="Times New Roman"/>
          <w:b w:val="0"/>
          <w:bCs w:val="0"/>
          <w:sz w:val="26"/>
          <w:szCs w:val="26"/>
        </w:rPr>
        <w:t xml:space="preserve"> the</w:t>
      </w:r>
      <w:r w:rsidR="00056348" w:rsidRPr="006E599B">
        <w:rPr>
          <w:rFonts w:cs="Times New Roman"/>
          <w:b w:val="0"/>
          <w:bCs w:val="0"/>
          <w:sz w:val="26"/>
          <w:szCs w:val="26"/>
        </w:rPr>
        <w:t xml:space="preserve"> </w:t>
      </w:r>
      <w:r w:rsidRPr="006E599B">
        <w:rPr>
          <w:rFonts w:cs="Times New Roman"/>
          <w:b w:val="0"/>
          <w:bCs w:val="0"/>
          <w:sz w:val="26"/>
          <w:szCs w:val="26"/>
        </w:rPr>
        <w:t xml:space="preserve">Israeli </w:t>
      </w:r>
      <w:r w:rsidR="00B8216B" w:rsidRPr="006E599B">
        <w:rPr>
          <w:rFonts w:cs="Times New Roman"/>
          <w:b w:val="0"/>
          <w:bCs w:val="0"/>
          <w:sz w:val="26"/>
          <w:szCs w:val="26"/>
        </w:rPr>
        <w:t xml:space="preserve">occupation aggression against </w:t>
      </w:r>
      <w:r w:rsidRPr="006E599B">
        <w:rPr>
          <w:rFonts w:cs="Times New Roman"/>
          <w:b w:val="0"/>
          <w:bCs w:val="0"/>
          <w:sz w:val="26"/>
          <w:szCs w:val="26"/>
        </w:rPr>
        <w:t xml:space="preserve">Palestine </w:t>
      </w:r>
      <w:r w:rsidR="00B8216B" w:rsidRPr="006E599B">
        <w:rPr>
          <w:rFonts w:cs="Times New Roman"/>
          <w:b w:val="0"/>
          <w:bCs w:val="0"/>
          <w:sz w:val="26"/>
          <w:szCs w:val="26"/>
        </w:rPr>
        <w:t xml:space="preserve">since </w:t>
      </w:r>
      <w:r w:rsidRPr="006E599B">
        <w:rPr>
          <w:rFonts w:cs="Times New Roman"/>
          <w:b w:val="0"/>
          <w:bCs w:val="0"/>
          <w:sz w:val="26"/>
          <w:szCs w:val="26"/>
        </w:rPr>
        <w:t>Oct</w:t>
      </w:r>
      <w:r w:rsidR="00B8216B" w:rsidRPr="006E599B">
        <w:rPr>
          <w:rFonts w:cs="Times New Roman"/>
          <w:b w:val="0"/>
          <w:bCs w:val="0"/>
          <w:sz w:val="26"/>
          <w:szCs w:val="26"/>
        </w:rPr>
        <w:t xml:space="preserve">ober </w:t>
      </w:r>
      <w:r w:rsidRPr="006E599B">
        <w:rPr>
          <w:rFonts w:cs="Times New Roman"/>
          <w:b w:val="0"/>
          <w:bCs w:val="0"/>
          <w:sz w:val="26"/>
          <w:szCs w:val="26"/>
        </w:rPr>
        <w:t>7</w:t>
      </w:r>
      <w:r w:rsidRPr="006E599B">
        <w:rPr>
          <w:rFonts w:cs="Times New Roman"/>
          <w:b w:val="0"/>
          <w:bCs w:val="0"/>
          <w:sz w:val="26"/>
          <w:szCs w:val="26"/>
          <w:vertAlign w:val="superscript"/>
        </w:rPr>
        <w:t>t</w:t>
      </w:r>
      <w:r w:rsidR="00056348" w:rsidRPr="006E599B">
        <w:rPr>
          <w:rFonts w:cs="Times New Roman"/>
          <w:b w:val="0"/>
          <w:bCs w:val="0"/>
          <w:sz w:val="26"/>
          <w:szCs w:val="26"/>
          <w:vertAlign w:val="superscript"/>
        </w:rPr>
        <w:t>h</w:t>
      </w:r>
      <w:r w:rsidR="000D022D" w:rsidRPr="006E599B">
        <w:rPr>
          <w:rFonts w:cs="Times New Roman"/>
          <w:b w:val="0"/>
          <w:bCs w:val="0"/>
          <w:sz w:val="26"/>
          <w:szCs w:val="26"/>
        </w:rPr>
        <w:t xml:space="preserve">, </w:t>
      </w:r>
      <w:r w:rsidR="00056348" w:rsidRPr="006E599B">
        <w:rPr>
          <w:rFonts w:cs="Times New Roman"/>
          <w:b w:val="0"/>
          <w:bCs w:val="0"/>
          <w:sz w:val="26"/>
          <w:szCs w:val="26"/>
        </w:rPr>
        <w:t>2023.</w:t>
      </w:r>
    </w:p>
    <w:p w:rsidR="00897AA7" w:rsidRPr="007B3B4B" w:rsidRDefault="00897AA7" w:rsidP="003337C7">
      <w:pPr>
        <w:pStyle w:val="BodyText3"/>
        <w:ind w:right="1"/>
        <w:jc w:val="both"/>
        <w:rPr>
          <w:rFonts w:cs="Times New Roman"/>
          <w:sz w:val="16"/>
          <w:szCs w:val="16"/>
        </w:rPr>
      </w:pPr>
    </w:p>
    <w:p w:rsidR="00893515" w:rsidRPr="006E599B" w:rsidRDefault="00F911C5" w:rsidP="003337C7">
      <w:pPr>
        <w:pStyle w:val="BodyText3"/>
        <w:ind w:right="1"/>
        <w:jc w:val="both"/>
        <w:rPr>
          <w:rFonts w:cs="Times New Roman"/>
          <w:b w:val="0"/>
          <w:bCs w:val="0"/>
          <w:sz w:val="26"/>
          <w:szCs w:val="26"/>
        </w:rPr>
      </w:pPr>
      <w:r w:rsidRPr="006E599B">
        <w:rPr>
          <w:rFonts w:cs="Times New Roman"/>
          <w:b w:val="0"/>
          <w:bCs w:val="0"/>
          <w:sz w:val="26"/>
          <w:szCs w:val="26"/>
        </w:rPr>
        <w:t>Data from the United Nations Satellite Center (UNOSAT) indicated that the number of buildings damaged as a</w:t>
      </w:r>
      <w:r w:rsidR="00EE2790" w:rsidRPr="006E599B">
        <w:rPr>
          <w:rFonts w:cs="Times New Roman"/>
          <w:b w:val="0"/>
          <w:bCs w:val="0"/>
          <w:sz w:val="26"/>
          <w:szCs w:val="26"/>
        </w:rPr>
        <w:t xml:space="preserve"> </w:t>
      </w:r>
      <w:r w:rsidRPr="006E599B">
        <w:rPr>
          <w:rFonts w:cs="Times New Roman"/>
          <w:b w:val="0"/>
          <w:bCs w:val="0"/>
          <w:sz w:val="26"/>
          <w:szCs w:val="26"/>
        </w:rPr>
        <w:t xml:space="preserve">result of the Israeli occupation aggression </w:t>
      </w:r>
      <w:r w:rsidR="003337C7" w:rsidRPr="006E599B">
        <w:rPr>
          <w:rFonts w:cs="Times New Roman"/>
          <w:b w:val="0"/>
          <w:bCs w:val="0"/>
          <w:sz w:val="26"/>
          <w:szCs w:val="26"/>
        </w:rPr>
        <w:t xml:space="preserve">against </w:t>
      </w:r>
      <w:r w:rsidRPr="006E599B">
        <w:rPr>
          <w:rFonts w:cs="Times New Roman"/>
          <w:b w:val="0"/>
          <w:bCs w:val="0"/>
          <w:sz w:val="26"/>
          <w:szCs w:val="26"/>
        </w:rPr>
        <w:t>Gaza Strip since 07/10/2023 amounted to about 156,423</w:t>
      </w:r>
      <w:r w:rsidR="00863036" w:rsidRPr="006E599B">
        <w:rPr>
          <w:rFonts w:cs="Times New Roman"/>
          <w:b w:val="0"/>
          <w:bCs w:val="0"/>
          <w:sz w:val="26"/>
          <w:szCs w:val="26"/>
        </w:rPr>
        <w:t xml:space="preserve"> buildings.</w:t>
      </w:r>
    </w:p>
    <w:p w:rsidR="006E599B" w:rsidRPr="007B3B4B" w:rsidRDefault="006E599B" w:rsidP="00897AA7">
      <w:pPr>
        <w:bidi w:val="0"/>
        <w:jc w:val="center"/>
        <w:rPr>
          <w:sz w:val="16"/>
          <w:szCs w:val="16"/>
        </w:rPr>
      </w:pPr>
    </w:p>
    <w:p w:rsidR="00230D71" w:rsidRPr="007B3B4B" w:rsidRDefault="00CB6C13" w:rsidP="006E599B">
      <w:pPr>
        <w:bidi w:val="0"/>
        <w:jc w:val="center"/>
        <w:rPr>
          <w:sz w:val="26"/>
          <w:szCs w:val="26"/>
        </w:rPr>
      </w:pPr>
      <w:r w:rsidRPr="00897AA7">
        <w:rPr>
          <w:b/>
          <w:bCs/>
          <w:sz w:val="26"/>
          <w:szCs w:val="26"/>
        </w:rPr>
        <w:t xml:space="preserve">Number of Buildings Damaged </w:t>
      </w:r>
      <w:r w:rsidR="000151C1" w:rsidRPr="00897AA7">
        <w:rPr>
          <w:b/>
          <w:bCs/>
          <w:sz w:val="26"/>
          <w:szCs w:val="26"/>
        </w:rPr>
        <w:t>a</w:t>
      </w:r>
      <w:r w:rsidRPr="00897AA7">
        <w:rPr>
          <w:b/>
          <w:bCs/>
          <w:sz w:val="26"/>
          <w:szCs w:val="26"/>
        </w:rPr>
        <w:t xml:space="preserve">s a </w:t>
      </w:r>
      <w:r w:rsidR="003337C7" w:rsidRPr="00897AA7">
        <w:rPr>
          <w:b/>
          <w:bCs/>
          <w:sz w:val="26"/>
          <w:szCs w:val="26"/>
        </w:rPr>
        <w:t xml:space="preserve">Result </w:t>
      </w:r>
      <w:r w:rsidRPr="00897AA7">
        <w:rPr>
          <w:b/>
          <w:bCs/>
          <w:sz w:val="26"/>
          <w:szCs w:val="26"/>
        </w:rPr>
        <w:t xml:space="preserve">of the Israeli Occupation Aggression </w:t>
      </w:r>
      <w:r w:rsidR="003337C7" w:rsidRPr="00897AA7">
        <w:rPr>
          <w:b/>
          <w:bCs/>
          <w:sz w:val="26"/>
          <w:szCs w:val="26"/>
        </w:rPr>
        <w:t xml:space="preserve">against </w:t>
      </w:r>
      <w:r w:rsidRPr="00897AA7">
        <w:rPr>
          <w:b/>
          <w:bCs/>
          <w:sz w:val="26"/>
          <w:szCs w:val="26"/>
        </w:rPr>
        <w:t xml:space="preserve">Gaza Strip </w:t>
      </w:r>
      <w:r w:rsidR="00E30044" w:rsidRPr="00897AA7">
        <w:rPr>
          <w:b/>
          <w:bCs/>
          <w:sz w:val="26"/>
          <w:szCs w:val="26"/>
        </w:rPr>
        <w:t xml:space="preserve">since </w:t>
      </w:r>
      <w:r w:rsidRPr="00897AA7">
        <w:rPr>
          <w:b/>
          <w:bCs/>
          <w:sz w:val="26"/>
          <w:szCs w:val="26"/>
        </w:rPr>
        <w:t xml:space="preserve">07/10/2023, </w:t>
      </w:r>
      <w:r w:rsidR="00FC6B54" w:rsidRPr="00897AA7">
        <w:rPr>
          <w:b/>
          <w:bCs/>
          <w:sz w:val="26"/>
          <w:szCs w:val="26"/>
        </w:rPr>
        <w:t>by</w:t>
      </w:r>
      <w:r w:rsidRPr="00897AA7">
        <w:rPr>
          <w:b/>
          <w:bCs/>
          <w:sz w:val="26"/>
          <w:szCs w:val="26"/>
        </w:rPr>
        <w:t xml:space="preserve"> Type of Building and Level of Damage</w:t>
      </w:r>
    </w:p>
    <w:p w:rsidR="00230D71" w:rsidRPr="007B3B4B" w:rsidRDefault="00230D71" w:rsidP="00230D71">
      <w:pPr>
        <w:bidi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Spec="center" w:tblpY="-54"/>
        <w:bidiVisual/>
        <w:tblW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017"/>
        <w:gridCol w:w="1136"/>
        <w:gridCol w:w="876"/>
        <w:gridCol w:w="1203"/>
        <w:gridCol w:w="1376"/>
      </w:tblGrid>
      <w:tr w:rsidR="00CB6C13" w:rsidRPr="006E599B" w:rsidTr="007B3B4B">
        <w:trPr>
          <w:trHeight w:val="55"/>
        </w:trPr>
        <w:tc>
          <w:tcPr>
            <w:tcW w:w="4536" w:type="dxa"/>
            <w:gridSpan w:val="5"/>
            <w:shd w:val="clear" w:color="auto" w:fill="auto"/>
            <w:vAlign w:val="center"/>
          </w:tcPr>
          <w:p w:rsidR="00CB6C13" w:rsidRPr="007B3B4B" w:rsidRDefault="00CB6C13" w:rsidP="007B3B4B">
            <w:pPr>
              <w:jc w:val="center"/>
              <w:rPr>
                <w:b/>
                <w:bCs/>
                <w:rtl/>
                <w:lang w:eastAsia="en-US"/>
              </w:rPr>
            </w:pPr>
            <w:r w:rsidRPr="007B3B4B">
              <w:rPr>
                <w:b/>
                <w:bCs/>
                <w:lang w:eastAsia="en-US"/>
              </w:rPr>
              <w:t>Level of Damage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CB6C13" w:rsidRPr="007B3B4B" w:rsidRDefault="00CB6C13" w:rsidP="007B3B4B">
            <w:pPr>
              <w:jc w:val="center"/>
              <w:rPr>
                <w:b/>
                <w:bCs/>
                <w:rtl/>
                <w:lang w:eastAsia="en-US"/>
              </w:rPr>
            </w:pPr>
            <w:r w:rsidRPr="007B3B4B">
              <w:rPr>
                <w:b/>
                <w:bCs/>
                <w:lang w:eastAsia="en-US"/>
              </w:rPr>
              <w:t>Type of Building</w:t>
            </w:r>
          </w:p>
        </w:tc>
      </w:tr>
      <w:tr w:rsidR="007B3B4B" w:rsidRPr="006E599B" w:rsidTr="007B3B4B">
        <w:trPr>
          <w:trHeight w:val="55"/>
        </w:trPr>
        <w:tc>
          <w:tcPr>
            <w:tcW w:w="866" w:type="dxa"/>
            <w:shd w:val="clear" w:color="auto" w:fill="auto"/>
          </w:tcPr>
          <w:p w:rsidR="00CB6C13" w:rsidRPr="007B3B4B" w:rsidRDefault="00CB6C13" w:rsidP="007B3B4B">
            <w:pPr>
              <w:jc w:val="center"/>
              <w:rPr>
                <w:rtl/>
                <w:lang w:eastAsia="en-US"/>
              </w:rPr>
            </w:pPr>
            <w:r w:rsidRPr="007B3B4B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883" w:type="dxa"/>
            <w:shd w:val="clear" w:color="auto" w:fill="auto"/>
          </w:tcPr>
          <w:p w:rsidR="00CB6C13" w:rsidRPr="007B3B4B" w:rsidRDefault="00CB6C13" w:rsidP="007B3B4B">
            <w:pPr>
              <w:jc w:val="center"/>
            </w:pPr>
            <w:r w:rsidRPr="007B3B4B">
              <w:t>Possible</w:t>
            </w:r>
          </w:p>
        </w:tc>
        <w:tc>
          <w:tcPr>
            <w:tcW w:w="983" w:type="dxa"/>
            <w:shd w:val="clear" w:color="auto" w:fill="auto"/>
          </w:tcPr>
          <w:p w:rsidR="00CB6C13" w:rsidRPr="007B3B4B" w:rsidRDefault="00CB6C13" w:rsidP="007B3B4B">
            <w:pPr>
              <w:jc w:val="center"/>
            </w:pPr>
            <w:r w:rsidRPr="007B3B4B">
              <w:t>Moderate</w:t>
            </w:r>
          </w:p>
        </w:tc>
        <w:tc>
          <w:tcPr>
            <w:tcW w:w="766" w:type="dxa"/>
            <w:shd w:val="clear" w:color="auto" w:fill="auto"/>
          </w:tcPr>
          <w:p w:rsidR="00CB6C13" w:rsidRPr="007B3B4B" w:rsidRDefault="00CB6C13" w:rsidP="007B3B4B">
            <w:pPr>
              <w:jc w:val="center"/>
            </w:pPr>
            <w:r w:rsidRPr="007B3B4B">
              <w:t>Severe</w:t>
            </w:r>
          </w:p>
        </w:tc>
        <w:tc>
          <w:tcPr>
            <w:tcW w:w="1038" w:type="dxa"/>
            <w:shd w:val="clear" w:color="auto" w:fill="auto"/>
          </w:tcPr>
          <w:p w:rsidR="00CB6C13" w:rsidRPr="007B3B4B" w:rsidRDefault="00CB6C13" w:rsidP="007B3B4B">
            <w:pPr>
              <w:jc w:val="center"/>
            </w:pPr>
            <w:r w:rsidRPr="007B3B4B">
              <w:t>Destroyed</w:t>
            </w:r>
          </w:p>
        </w:tc>
        <w:tc>
          <w:tcPr>
            <w:tcW w:w="1045" w:type="dxa"/>
            <w:vMerge/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rtl/>
                <w:lang w:eastAsia="en-US"/>
              </w:rPr>
            </w:pPr>
          </w:p>
        </w:tc>
      </w:tr>
      <w:tr w:rsidR="007B3B4B" w:rsidRPr="006E599B" w:rsidTr="007B3B4B">
        <w:trPr>
          <w:trHeight w:val="60"/>
        </w:trPr>
        <w:tc>
          <w:tcPr>
            <w:tcW w:w="8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  <w:rPr>
                <w:b/>
                <w:bCs/>
              </w:rPr>
            </w:pPr>
            <w:r w:rsidRPr="007B3B4B">
              <w:rPr>
                <w:b/>
                <w:bCs/>
              </w:rPr>
              <w:t>204</w:t>
            </w:r>
          </w:p>
        </w:tc>
        <w:tc>
          <w:tcPr>
            <w:tcW w:w="8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2</w:t>
            </w:r>
          </w:p>
        </w:tc>
        <w:tc>
          <w:tcPr>
            <w:tcW w:w="9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123</w:t>
            </w:r>
          </w:p>
        </w:tc>
        <w:tc>
          <w:tcPr>
            <w:tcW w:w="7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40</w:t>
            </w:r>
          </w:p>
        </w:tc>
        <w:tc>
          <w:tcPr>
            <w:tcW w:w="1038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39</w:t>
            </w:r>
          </w:p>
        </w:tc>
        <w:tc>
          <w:tcPr>
            <w:tcW w:w="1045" w:type="dxa"/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rtl/>
                <w:lang w:eastAsia="en-US"/>
              </w:rPr>
            </w:pPr>
            <w:r w:rsidRPr="007B3B4B">
              <w:rPr>
                <w:lang w:eastAsia="en-US"/>
              </w:rPr>
              <w:t>Hospitals</w:t>
            </w:r>
          </w:p>
        </w:tc>
      </w:tr>
      <w:tr w:rsidR="007B3B4B" w:rsidRPr="006E599B" w:rsidTr="007B3B4B">
        <w:trPr>
          <w:trHeight w:val="60"/>
        </w:trPr>
        <w:tc>
          <w:tcPr>
            <w:tcW w:w="8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  <w:rPr>
                <w:b/>
                <w:bCs/>
              </w:rPr>
            </w:pPr>
            <w:r w:rsidRPr="007B3B4B">
              <w:rPr>
                <w:b/>
                <w:bCs/>
              </w:rPr>
              <w:t>391</w:t>
            </w:r>
          </w:p>
        </w:tc>
        <w:tc>
          <w:tcPr>
            <w:tcW w:w="8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2</w:t>
            </w:r>
          </w:p>
        </w:tc>
        <w:tc>
          <w:tcPr>
            <w:tcW w:w="9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90</w:t>
            </w:r>
          </w:p>
        </w:tc>
        <w:tc>
          <w:tcPr>
            <w:tcW w:w="7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125</w:t>
            </w:r>
          </w:p>
        </w:tc>
        <w:tc>
          <w:tcPr>
            <w:tcW w:w="1038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174</w:t>
            </w:r>
          </w:p>
        </w:tc>
        <w:tc>
          <w:tcPr>
            <w:tcW w:w="1045" w:type="dxa"/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rtl/>
                <w:lang w:eastAsia="en-US"/>
              </w:rPr>
            </w:pPr>
            <w:r w:rsidRPr="007B3B4B">
              <w:rPr>
                <w:lang w:eastAsia="en-US"/>
              </w:rPr>
              <w:t>Mosques</w:t>
            </w:r>
          </w:p>
        </w:tc>
      </w:tr>
      <w:tr w:rsidR="007B3B4B" w:rsidRPr="006E599B" w:rsidTr="007B3B4B">
        <w:trPr>
          <w:trHeight w:val="123"/>
        </w:trPr>
        <w:tc>
          <w:tcPr>
            <w:tcW w:w="8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  <w:rPr>
                <w:b/>
                <w:bCs/>
              </w:rPr>
            </w:pPr>
            <w:r w:rsidRPr="007B3B4B">
              <w:rPr>
                <w:b/>
                <w:bCs/>
              </w:rPr>
              <w:t>883</w:t>
            </w:r>
          </w:p>
        </w:tc>
        <w:tc>
          <w:tcPr>
            <w:tcW w:w="8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79</w:t>
            </w:r>
          </w:p>
        </w:tc>
        <w:tc>
          <w:tcPr>
            <w:tcW w:w="9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438</w:t>
            </w:r>
          </w:p>
        </w:tc>
        <w:tc>
          <w:tcPr>
            <w:tcW w:w="7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190</w:t>
            </w:r>
          </w:p>
        </w:tc>
        <w:tc>
          <w:tcPr>
            <w:tcW w:w="1038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176</w:t>
            </w:r>
          </w:p>
        </w:tc>
        <w:tc>
          <w:tcPr>
            <w:tcW w:w="1045" w:type="dxa"/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rtl/>
                <w:lang w:eastAsia="en-US"/>
              </w:rPr>
            </w:pPr>
            <w:r w:rsidRPr="007B3B4B">
              <w:rPr>
                <w:lang w:eastAsia="en-US"/>
              </w:rPr>
              <w:t>Schools/ Universities</w:t>
            </w:r>
          </w:p>
        </w:tc>
      </w:tr>
      <w:tr w:rsidR="007B3B4B" w:rsidRPr="006E599B" w:rsidTr="007B3B4B">
        <w:trPr>
          <w:trHeight w:val="100"/>
        </w:trPr>
        <w:tc>
          <w:tcPr>
            <w:tcW w:w="8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  <w:rPr>
                <w:b/>
                <w:bCs/>
              </w:rPr>
            </w:pPr>
            <w:r w:rsidRPr="007B3B4B">
              <w:rPr>
                <w:b/>
                <w:bCs/>
              </w:rPr>
              <w:t>154,945</w:t>
            </w:r>
          </w:p>
        </w:tc>
        <w:tc>
          <w:tcPr>
            <w:tcW w:w="8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35,685</w:t>
            </w:r>
          </w:p>
        </w:tc>
        <w:tc>
          <w:tcPr>
            <w:tcW w:w="983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55,303</w:t>
            </w:r>
          </w:p>
        </w:tc>
        <w:tc>
          <w:tcPr>
            <w:tcW w:w="766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18,123</w:t>
            </w:r>
          </w:p>
        </w:tc>
        <w:tc>
          <w:tcPr>
            <w:tcW w:w="1038" w:type="dxa"/>
            <w:shd w:val="clear" w:color="auto" w:fill="auto"/>
          </w:tcPr>
          <w:p w:rsidR="00CB6C13" w:rsidRPr="007B3B4B" w:rsidRDefault="00CB6C13" w:rsidP="007B3B4B">
            <w:pPr>
              <w:bidi w:val="0"/>
              <w:jc w:val="center"/>
            </w:pPr>
            <w:r w:rsidRPr="007B3B4B">
              <w:t>45,834</w:t>
            </w:r>
          </w:p>
        </w:tc>
        <w:tc>
          <w:tcPr>
            <w:tcW w:w="1045" w:type="dxa"/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lang w:eastAsia="en-US"/>
              </w:rPr>
            </w:pPr>
            <w:r w:rsidRPr="007B3B4B">
              <w:rPr>
                <w:lang w:eastAsia="en-US"/>
              </w:rPr>
              <w:t>Rest of Buildings</w:t>
            </w:r>
          </w:p>
        </w:tc>
      </w:tr>
      <w:tr w:rsidR="007B3B4B" w:rsidRPr="006E599B" w:rsidTr="007B3B4B">
        <w:trPr>
          <w:trHeight w:val="10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CB6C13" w:rsidRPr="007B3B4B" w:rsidRDefault="00CB6C13" w:rsidP="007B3B4B">
            <w:pPr>
              <w:rPr>
                <w:b/>
                <w:bCs/>
              </w:rPr>
            </w:pPr>
            <w:r w:rsidRPr="007B3B4B">
              <w:rPr>
                <w:b/>
                <w:bCs/>
              </w:rPr>
              <w:t>156,423</w:t>
            </w:r>
          </w:p>
        </w:tc>
        <w:tc>
          <w:tcPr>
            <w:tcW w:w="367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CB6C13" w:rsidRPr="007B3B4B" w:rsidRDefault="00CB6C13" w:rsidP="007B3B4B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CB6C13" w:rsidRPr="007B3B4B" w:rsidRDefault="00CB6C13" w:rsidP="007B3B4B">
            <w:pPr>
              <w:jc w:val="right"/>
              <w:rPr>
                <w:b/>
                <w:bCs/>
                <w:lang w:eastAsia="en-US"/>
              </w:rPr>
            </w:pPr>
            <w:r w:rsidRPr="007B3B4B">
              <w:rPr>
                <w:b/>
                <w:bCs/>
                <w:lang w:eastAsia="en-US"/>
              </w:rPr>
              <w:t>Total</w:t>
            </w:r>
          </w:p>
        </w:tc>
      </w:tr>
    </w:tbl>
    <w:p w:rsidR="006E599B" w:rsidRPr="007B3B4B" w:rsidRDefault="006E599B" w:rsidP="00230D71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26"/>
          <w:szCs w:val="2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16"/>
          <w:szCs w:val="16"/>
        </w:rPr>
      </w:pPr>
    </w:p>
    <w:p w:rsidR="006E599B" w:rsidRPr="007B3B4B" w:rsidRDefault="006E599B" w:rsidP="006E599B">
      <w:pPr>
        <w:bidi w:val="0"/>
        <w:jc w:val="both"/>
        <w:rPr>
          <w:b/>
          <w:bCs/>
          <w:sz w:val="16"/>
          <w:szCs w:val="16"/>
        </w:rPr>
      </w:pPr>
    </w:p>
    <w:p w:rsidR="00893515" w:rsidRPr="007B3B4B" w:rsidRDefault="00893515" w:rsidP="006E599B">
      <w:pPr>
        <w:bidi w:val="0"/>
        <w:jc w:val="both"/>
        <w:rPr>
          <w:b/>
          <w:bCs/>
          <w:sz w:val="26"/>
          <w:szCs w:val="26"/>
        </w:rPr>
      </w:pPr>
      <w:r w:rsidRPr="007B3B4B">
        <w:rPr>
          <w:b/>
          <w:bCs/>
          <w:sz w:val="26"/>
          <w:szCs w:val="26"/>
        </w:rPr>
        <w:t xml:space="preserve">81% of Households in </w:t>
      </w:r>
      <w:r w:rsidR="00847FED" w:rsidRPr="007B3B4B">
        <w:rPr>
          <w:b/>
          <w:bCs/>
          <w:sz w:val="26"/>
          <w:szCs w:val="26"/>
        </w:rPr>
        <w:t xml:space="preserve">the </w:t>
      </w:r>
      <w:r w:rsidR="00566ACF" w:rsidRPr="007B3B4B">
        <w:rPr>
          <w:b/>
          <w:bCs/>
          <w:sz w:val="26"/>
          <w:szCs w:val="26"/>
        </w:rPr>
        <w:t>West Bank</w:t>
      </w:r>
      <w:r w:rsidRPr="007B3B4B">
        <w:rPr>
          <w:b/>
          <w:bCs/>
          <w:sz w:val="26"/>
          <w:szCs w:val="26"/>
        </w:rPr>
        <w:t> Live in Owned Housing Units</w:t>
      </w:r>
    </w:p>
    <w:p w:rsidR="00893515" w:rsidRPr="007B3B4B" w:rsidRDefault="00893515" w:rsidP="00566ACF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81% of the households in </w:t>
      </w:r>
      <w:r w:rsidR="00EC63FE" w:rsidRPr="007B3B4B">
        <w:rPr>
          <w:sz w:val="26"/>
          <w:szCs w:val="26"/>
        </w:rPr>
        <w:t xml:space="preserve">the </w:t>
      </w:r>
      <w:r w:rsidR="00566ACF" w:rsidRPr="007B3B4B">
        <w:rPr>
          <w:sz w:val="26"/>
          <w:szCs w:val="26"/>
        </w:rPr>
        <w:t>West Bank</w:t>
      </w:r>
      <w:r w:rsidRPr="007B3B4B">
        <w:rPr>
          <w:sz w:val="26"/>
          <w:szCs w:val="26"/>
        </w:rPr>
        <w:t xml:space="preserve"> liv</w:t>
      </w:r>
      <w:r w:rsidR="00566ACF" w:rsidRPr="007B3B4B">
        <w:rPr>
          <w:sz w:val="26"/>
          <w:szCs w:val="26"/>
        </w:rPr>
        <w:t xml:space="preserve">e in owned housing units </w:t>
      </w:r>
      <w:r w:rsidRPr="007B3B4B">
        <w:rPr>
          <w:sz w:val="26"/>
          <w:szCs w:val="26"/>
        </w:rPr>
        <w:t>in 202</w:t>
      </w:r>
      <w:r w:rsidR="00566ACF" w:rsidRPr="007B3B4B">
        <w:rPr>
          <w:sz w:val="26"/>
          <w:szCs w:val="26"/>
        </w:rPr>
        <w:t>3</w:t>
      </w:r>
      <w:r w:rsidRPr="007B3B4B">
        <w:rPr>
          <w:sz w:val="26"/>
          <w:szCs w:val="26"/>
        </w:rPr>
        <w:t xml:space="preserve">.  </w:t>
      </w:r>
    </w:p>
    <w:p w:rsidR="00893515" w:rsidRPr="007B3B4B" w:rsidRDefault="00893515" w:rsidP="00897AA7">
      <w:pPr>
        <w:bidi w:val="0"/>
        <w:rPr>
          <w:sz w:val="16"/>
          <w:szCs w:val="16"/>
        </w:rPr>
      </w:pPr>
      <w:r w:rsidRPr="007B3B4B">
        <w:rPr>
          <w:sz w:val="16"/>
          <w:szCs w:val="16"/>
        </w:rPr>
        <w:t> </w:t>
      </w:r>
    </w:p>
    <w:p w:rsidR="00893515" w:rsidRPr="007B3B4B" w:rsidRDefault="00893515" w:rsidP="004B0BBB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>In addition,</w:t>
      </w:r>
      <w:r w:rsidR="009D0680" w:rsidRPr="007B3B4B">
        <w:rPr>
          <w:sz w:val="26"/>
          <w:szCs w:val="26"/>
        </w:rPr>
        <w:t xml:space="preserve"> </w:t>
      </w:r>
      <w:r w:rsidR="00566ACF" w:rsidRPr="007B3B4B">
        <w:rPr>
          <w:rFonts w:hint="cs"/>
          <w:sz w:val="26"/>
          <w:szCs w:val="26"/>
          <w:rtl/>
        </w:rPr>
        <w:t>8</w:t>
      </w:r>
      <w:r w:rsidRPr="007B3B4B">
        <w:rPr>
          <w:sz w:val="26"/>
          <w:szCs w:val="26"/>
        </w:rPr>
        <w:t xml:space="preserve">% of households in </w:t>
      </w:r>
      <w:r w:rsidR="00EC63FE" w:rsidRPr="007B3B4B">
        <w:rPr>
          <w:sz w:val="26"/>
          <w:szCs w:val="26"/>
        </w:rPr>
        <w:t xml:space="preserve">the </w:t>
      </w:r>
      <w:r w:rsidR="00566ACF" w:rsidRPr="007B3B4B">
        <w:rPr>
          <w:sz w:val="26"/>
          <w:szCs w:val="26"/>
        </w:rPr>
        <w:t xml:space="preserve">West Bank </w:t>
      </w:r>
      <w:r w:rsidRPr="007B3B4B">
        <w:rPr>
          <w:sz w:val="26"/>
          <w:szCs w:val="26"/>
        </w:rPr>
        <w:t>live in rented housin</w:t>
      </w:r>
      <w:r w:rsidR="00566ACF" w:rsidRPr="007B3B4B">
        <w:rPr>
          <w:sz w:val="26"/>
          <w:szCs w:val="26"/>
        </w:rPr>
        <w:t>g units</w:t>
      </w:r>
      <w:r w:rsidRPr="007B3B4B">
        <w:rPr>
          <w:sz w:val="26"/>
          <w:szCs w:val="26"/>
        </w:rPr>
        <w:t xml:space="preserve">. Results also showed that </w:t>
      </w:r>
      <w:r w:rsidR="009D0680" w:rsidRPr="007B3B4B">
        <w:rPr>
          <w:sz w:val="26"/>
          <w:szCs w:val="26"/>
        </w:rPr>
        <w:t>1</w:t>
      </w:r>
      <w:r w:rsidR="00D261E5" w:rsidRPr="007B3B4B">
        <w:rPr>
          <w:rFonts w:hint="cs"/>
          <w:sz w:val="26"/>
          <w:szCs w:val="26"/>
          <w:rtl/>
        </w:rPr>
        <w:t>1</w:t>
      </w:r>
      <w:r w:rsidRPr="007B3B4B">
        <w:rPr>
          <w:sz w:val="26"/>
          <w:szCs w:val="26"/>
        </w:rPr>
        <w:t xml:space="preserve">% of households in </w:t>
      </w:r>
      <w:r w:rsidR="00EC63FE" w:rsidRPr="007B3B4B">
        <w:rPr>
          <w:sz w:val="26"/>
          <w:szCs w:val="26"/>
        </w:rPr>
        <w:t xml:space="preserve">the </w:t>
      </w:r>
      <w:r w:rsidR="004B0BBB" w:rsidRPr="007B3B4B">
        <w:rPr>
          <w:sz w:val="26"/>
          <w:szCs w:val="26"/>
        </w:rPr>
        <w:t xml:space="preserve">West Bank </w:t>
      </w:r>
      <w:r w:rsidRPr="007B3B4B">
        <w:rPr>
          <w:sz w:val="26"/>
          <w:szCs w:val="26"/>
        </w:rPr>
        <w:t>live</w:t>
      </w:r>
      <w:r w:rsidR="00070A5F" w:rsidRPr="007B3B4B">
        <w:rPr>
          <w:sz w:val="26"/>
          <w:szCs w:val="26"/>
        </w:rPr>
        <w:t xml:space="preserve"> in housing units</w:t>
      </w:r>
      <w:r w:rsidRPr="007B3B4B">
        <w:rPr>
          <w:sz w:val="26"/>
          <w:szCs w:val="26"/>
        </w:rPr>
        <w:t xml:space="preserve"> without payment </w:t>
      </w:r>
      <w:r w:rsidR="004B0BBB" w:rsidRPr="007B3B4B">
        <w:rPr>
          <w:sz w:val="26"/>
          <w:szCs w:val="26"/>
        </w:rPr>
        <w:t>or</w:t>
      </w:r>
      <w:r w:rsidRPr="007B3B4B">
        <w:rPr>
          <w:sz w:val="26"/>
          <w:szCs w:val="26"/>
        </w:rPr>
        <w:t xml:space="preserve"> as in exchange of</w:t>
      </w:r>
      <w:r w:rsidR="00D261E5" w:rsidRPr="007B3B4B">
        <w:rPr>
          <w:sz w:val="26"/>
          <w:szCs w:val="26"/>
        </w:rPr>
        <w:t xml:space="preserve"> labour</w:t>
      </w:r>
      <w:r w:rsidR="000C75D4" w:rsidRPr="007B3B4B">
        <w:rPr>
          <w:sz w:val="26"/>
          <w:szCs w:val="26"/>
        </w:rPr>
        <w:t xml:space="preserve"> in 202</w:t>
      </w:r>
      <w:r w:rsidR="00D261E5" w:rsidRPr="007B3B4B">
        <w:rPr>
          <w:sz w:val="26"/>
          <w:szCs w:val="26"/>
        </w:rPr>
        <w:t>3</w:t>
      </w:r>
      <w:r w:rsidRPr="007B3B4B">
        <w:rPr>
          <w:sz w:val="26"/>
          <w:szCs w:val="26"/>
        </w:rPr>
        <w:t>.</w:t>
      </w:r>
    </w:p>
    <w:p w:rsidR="008B5E16" w:rsidRPr="007B3B4B" w:rsidRDefault="008B5E16" w:rsidP="00897AA7">
      <w:pPr>
        <w:tabs>
          <w:tab w:val="left" w:pos="9070"/>
          <w:tab w:val="right" w:pos="9212"/>
        </w:tabs>
        <w:ind w:left="-1" w:right="284"/>
        <w:jc w:val="right"/>
        <w:rPr>
          <w:sz w:val="16"/>
          <w:szCs w:val="16"/>
          <w:rtl/>
        </w:rPr>
      </w:pPr>
    </w:p>
    <w:p w:rsidR="00897AA7" w:rsidRPr="007B3B4B" w:rsidRDefault="00893515" w:rsidP="00797529">
      <w:pPr>
        <w:bidi w:val="0"/>
        <w:jc w:val="both"/>
        <w:rPr>
          <w:sz w:val="26"/>
          <w:szCs w:val="26"/>
        </w:rPr>
      </w:pPr>
      <w:r w:rsidRPr="007B3B4B">
        <w:rPr>
          <w:b/>
          <w:bCs/>
          <w:sz w:val="26"/>
          <w:szCs w:val="26"/>
        </w:rPr>
        <w:t xml:space="preserve">More than Half of the </w:t>
      </w:r>
      <w:r w:rsidR="00986752" w:rsidRPr="007B3B4B">
        <w:rPr>
          <w:b/>
          <w:bCs/>
          <w:sz w:val="26"/>
          <w:szCs w:val="26"/>
        </w:rPr>
        <w:t xml:space="preserve">West Bank Households Live in </w:t>
      </w:r>
      <w:r w:rsidR="00797529" w:rsidRPr="007B3B4B">
        <w:rPr>
          <w:b/>
          <w:bCs/>
          <w:sz w:val="26"/>
          <w:szCs w:val="26"/>
        </w:rPr>
        <w:t xml:space="preserve">a House </w:t>
      </w:r>
      <w:r w:rsidR="00A30093" w:rsidRPr="007B3B4B">
        <w:rPr>
          <w:b/>
          <w:bCs/>
          <w:sz w:val="26"/>
          <w:szCs w:val="26"/>
        </w:rPr>
        <w:t>Type of</w:t>
      </w:r>
      <w:r w:rsidRPr="007B3B4B">
        <w:rPr>
          <w:b/>
          <w:bCs/>
          <w:sz w:val="26"/>
          <w:szCs w:val="26"/>
        </w:rPr>
        <w:t xml:space="preserve"> Housing Units</w:t>
      </w:r>
    </w:p>
    <w:p w:rsidR="00893515" w:rsidRPr="007B3B4B" w:rsidRDefault="00893515" w:rsidP="00897AA7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br/>
      </w:r>
      <w:r w:rsidR="009D0680" w:rsidRPr="007B3B4B">
        <w:rPr>
          <w:sz w:val="26"/>
          <w:szCs w:val="26"/>
        </w:rPr>
        <w:t>54</w:t>
      </w:r>
      <w:r w:rsidRPr="007B3B4B">
        <w:rPr>
          <w:sz w:val="26"/>
          <w:szCs w:val="26"/>
        </w:rPr>
        <w:t xml:space="preserve">% of the </w:t>
      </w:r>
      <w:r w:rsidR="00986752" w:rsidRPr="007B3B4B">
        <w:rPr>
          <w:sz w:val="26"/>
          <w:szCs w:val="26"/>
        </w:rPr>
        <w:t>West Bank</w:t>
      </w:r>
      <w:r w:rsidRPr="007B3B4B">
        <w:rPr>
          <w:sz w:val="26"/>
          <w:szCs w:val="26"/>
        </w:rPr>
        <w:t xml:space="preserve"> households live in a</w:t>
      </w:r>
      <w:r w:rsidR="00EC63FE" w:rsidRPr="007B3B4B">
        <w:rPr>
          <w:sz w:val="26"/>
          <w:szCs w:val="26"/>
        </w:rPr>
        <w:t xml:space="preserve"> </w:t>
      </w:r>
      <w:r w:rsidR="00986752" w:rsidRPr="007B3B4B">
        <w:rPr>
          <w:sz w:val="26"/>
          <w:szCs w:val="26"/>
        </w:rPr>
        <w:t>house</w:t>
      </w:r>
      <w:r w:rsidR="00A30093" w:rsidRPr="007B3B4B">
        <w:rPr>
          <w:sz w:val="26"/>
          <w:szCs w:val="26"/>
        </w:rPr>
        <w:t xml:space="preserve"> type of</w:t>
      </w:r>
      <w:r w:rsidRPr="007B3B4B">
        <w:rPr>
          <w:sz w:val="26"/>
          <w:szCs w:val="26"/>
        </w:rPr>
        <w:t xml:space="preserve"> housing units, </w:t>
      </w:r>
      <w:r w:rsidR="009D0680" w:rsidRPr="007B3B4B">
        <w:rPr>
          <w:sz w:val="26"/>
          <w:szCs w:val="26"/>
        </w:rPr>
        <w:t>4</w:t>
      </w:r>
      <w:r w:rsidR="00986752" w:rsidRPr="007B3B4B">
        <w:rPr>
          <w:sz w:val="26"/>
          <w:szCs w:val="26"/>
        </w:rPr>
        <w:t>5</w:t>
      </w:r>
      <w:r w:rsidRPr="007B3B4B">
        <w:rPr>
          <w:sz w:val="26"/>
          <w:szCs w:val="26"/>
        </w:rPr>
        <w:t xml:space="preserve">% of the households live in </w:t>
      </w:r>
      <w:r w:rsidR="00986752" w:rsidRPr="007B3B4B">
        <w:rPr>
          <w:sz w:val="26"/>
          <w:szCs w:val="26"/>
        </w:rPr>
        <w:t>apartments</w:t>
      </w:r>
      <w:r w:rsidRPr="007B3B4B">
        <w:rPr>
          <w:sz w:val="26"/>
          <w:szCs w:val="26"/>
        </w:rPr>
        <w:t xml:space="preserve">, </w:t>
      </w:r>
      <w:r w:rsidR="009D0680" w:rsidRPr="007B3B4B">
        <w:rPr>
          <w:sz w:val="26"/>
          <w:szCs w:val="26"/>
        </w:rPr>
        <w:t xml:space="preserve">and less than </w:t>
      </w:r>
      <w:r w:rsidR="00986752" w:rsidRPr="007B3B4B">
        <w:rPr>
          <w:sz w:val="26"/>
          <w:szCs w:val="26"/>
        </w:rPr>
        <w:t>1%</w:t>
      </w:r>
      <w:r w:rsidRPr="007B3B4B">
        <w:rPr>
          <w:sz w:val="26"/>
          <w:szCs w:val="26"/>
        </w:rPr>
        <w:t xml:space="preserve"> of the households live in villas, </w:t>
      </w:r>
      <w:r w:rsidR="00EC63FE" w:rsidRPr="007B3B4B">
        <w:rPr>
          <w:sz w:val="26"/>
          <w:szCs w:val="26"/>
        </w:rPr>
        <w:t xml:space="preserve">whereas </w:t>
      </w:r>
      <w:r w:rsidR="00986752" w:rsidRPr="006E599B">
        <w:rPr>
          <w:sz w:val="26"/>
          <w:szCs w:val="26"/>
        </w:rPr>
        <w:t xml:space="preserve">less than 1% </w:t>
      </w:r>
      <w:r w:rsidRPr="007B3B4B">
        <w:rPr>
          <w:sz w:val="26"/>
          <w:szCs w:val="26"/>
        </w:rPr>
        <w:t xml:space="preserve">of the households live in other types of housing units </w:t>
      </w:r>
      <w:r w:rsidR="009D0680" w:rsidRPr="007B3B4B">
        <w:rPr>
          <w:sz w:val="26"/>
          <w:szCs w:val="26"/>
        </w:rPr>
        <w:t xml:space="preserve">as </w:t>
      </w:r>
      <w:r w:rsidR="00DE178E" w:rsidRPr="007B3B4B">
        <w:rPr>
          <w:sz w:val="26"/>
          <w:szCs w:val="26"/>
        </w:rPr>
        <w:t xml:space="preserve">an </w:t>
      </w:r>
      <w:r w:rsidRPr="007B3B4B">
        <w:rPr>
          <w:sz w:val="26"/>
          <w:szCs w:val="26"/>
        </w:rPr>
        <w:t>independen</w:t>
      </w:r>
      <w:r w:rsidR="009D0680" w:rsidRPr="007B3B4B">
        <w:rPr>
          <w:sz w:val="26"/>
          <w:szCs w:val="26"/>
        </w:rPr>
        <w:t>t room, tent, marginal</w:t>
      </w:r>
      <w:r w:rsidR="00A6203A" w:rsidRPr="007B3B4B">
        <w:rPr>
          <w:sz w:val="26"/>
          <w:szCs w:val="26"/>
        </w:rPr>
        <w:t>...etc</w:t>
      </w:r>
      <w:r w:rsidRPr="007B3B4B">
        <w:rPr>
          <w:sz w:val="26"/>
          <w:szCs w:val="26"/>
        </w:rPr>
        <w:t>, in 202</w:t>
      </w:r>
      <w:r w:rsidR="00986752" w:rsidRPr="007B3B4B">
        <w:rPr>
          <w:sz w:val="26"/>
          <w:szCs w:val="26"/>
        </w:rPr>
        <w:t>3</w:t>
      </w:r>
      <w:r w:rsidR="00786648" w:rsidRPr="007B3B4B">
        <w:rPr>
          <w:sz w:val="26"/>
          <w:szCs w:val="26"/>
        </w:rPr>
        <w:t>.</w:t>
      </w:r>
      <w:r w:rsidRPr="007B3B4B">
        <w:rPr>
          <w:sz w:val="26"/>
          <w:szCs w:val="26"/>
        </w:rPr>
        <w:t xml:space="preserve"> </w:t>
      </w:r>
    </w:p>
    <w:p w:rsidR="00732AD4" w:rsidRPr="007B3B4B" w:rsidRDefault="00732AD4" w:rsidP="00732AD4">
      <w:pPr>
        <w:bidi w:val="0"/>
        <w:jc w:val="both"/>
        <w:rPr>
          <w:sz w:val="16"/>
          <w:szCs w:val="16"/>
        </w:rPr>
      </w:pPr>
    </w:p>
    <w:p w:rsidR="006E599B" w:rsidRPr="007B3B4B" w:rsidRDefault="006E599B" w:rsidP="00986752">
      <w:pPr>
        <w:jc w:val="center"/>
        <w:rPr>
          <w:b/>
          <w:bCs/>
          <w:snapToGrid w:val="0"/>
          <w:sz w:val="28"/>
          <w:szCs w:val="28"/>
        </w:rPr>
      </w:pPr>
    </w:p>
    <w:p w:rsidR="006E599B" w:rsidRPr="007B3B4B" w:rsidRDefault="006E599B" w:rsidP="00986752">
      <w:pPr>
        <w:jc w:val="center"/>
        <w:rPr>
          <w:b/>
          <w:bCs/>
          <w:snapToGrid w:val="0"/>
          <w:sz w:val="28"/>
          <w:szCs w:val="28"/>
        </w:rPr>
      </w:pPr>
    </w:p>
    <w:p w:rsidR="006E599B" w:rsidRPr="007B3B4B" w:rsidRDefault="006E599B" w:rsidP="00986752">
      <w:pPr>
        <w:jc w:val="center"/>
        <w:rPr>
          <w:b/>
          <w:bCs/>
          <w:snapToGrid w:val="0"/>
          <w:sz w:val="28"/>
          <w:szCs w:val="28"/>
        </w:rPr>
      </w:pPr>
    </w:p>
    <w:p w:rsidR="006E599B" w:rsidRPr="007B3B4B" w:rsidRDefault="008E7EB7" w:rsidP="00986752">
      <w:pPr>
        <w:jc w:val="center"/>
        <w:rPr>
          <w:b/>
          <w:bCs/>
          <w:snapToGrid w:val="0"/>
          <w:sz w:val="28"/>
          <w:szCs w:val="28"/>
        </w:rPr>
      </w:pPr>
      <w:r w:rsidRPr="007B3B4B">
        <w:rPr>
          <w:b/>
          <w:bCs/>
          <w:snapToGrid w:val="0"/>
          <w:sz w:val="28"/>
          <w:szCs w:val="28"/>
        </w:rPr>
        <w:lastRenderedPageBreak/>
        <w:t xml:space="preserve">Percentage Distribution of Households in </w:t>
      </w:r>
      <w:r w:rsidR="00EC63FE" w:rsidRPr="007B3B4B">
        <w:rPr>
          <w:b/>
          <w:bCs/>
          <w:snapToGrid w:val="0"/>
          <w:sz w:val="28"/>
          <w:szCs w:val="28"/>
        </w:rPr>
        <w:t xml:space="preserve">the </w:t>
      </w:r>
      <w:r w:rsidRPr="007B3B4B">
        <w:rPr>
          <w:b/>
          <w:bCs/>
          <w:snapToGrid w:val="0"/>
          <w:sz w:val="28"/>
          <w:szCs w:val="28"/>
        </w:rPr>
        <w:t xml:space="preserve">West Bank by Type </w:t>
      </w:r>
    </w:p>
    <w:p w:rsidR="00986752" w:rsidRPr="007B3B4B" w:rsidRDefault="008E7EB7" w:rsidP="00986752">
      <w:pPr>
        <w:jc w:val="center"/>
        <w:rPr>
          <w:b/>
          <w:bCs/>
          <w:snapToGrid w:val="0"/>
          <w:sz w:val="28"/>
          <w:szCs w:val="28"/>
          <w:rtl/>
        </w:rPr>
      </w:pPr>
      <w:r w:rsidRPr="007B3B4B">
        <w:rPr>
          <w:b/>
          <w:bCs/>
          <w:snapToGrid w:val="0"/>
          <w:sz w:val="28"/>
          <w:szCs w:val="28"/>
        </w:rPr>
        <w:t>of Housing Unit, 2023</w:t>
      </w:r>
    </w:p>
    <w:p w:rsidR="00956381" w:rsidRPr="007B3B4B" w:rsidRDefault="0034210A" w:rsidP="00986752">
      <w:pPr>
        <w:jc w:val="center"/>
        <w:rPr>
          <w:b/>
          <w:bCs/>
          <w:snapToGrid w:val="0"/>
          <w:sz w:val="22"/>
          <w:szCs w:val="22"/>
          <w:rtl/>
        </w:rPr>
      </w:pPr>
      <w:r w:rsidRPr="007B3B4B">
        <w:rPr>
          <w:noProof/>
          <w:sz w:val="10"/>
          <w:szCs w:val="10"/>
          <w:bdr w:val="single" w:sz="4" w:space="0" w:color="auto"/>
          <w:lang w:val="en-GB" w:eastAsia="en-GB"/>
        </w:rPr>
        <w:drawing>
          <wp:inline distT="0" distB="0" distL="0" distR="0">
            <wp:extent cx="3505835" cy="147574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7EB7" w:rsidRPr="007B3B4B" w:rsidRDefault="008E7EB7" w:rsidP="006E599B">
      <w:pPr>
        <w:jc w:val="center"/>
        <w:rPr>
          <w:b/>
          <w:bCs/>
          <w:snapToGrid w:val="0"/>
          <w:sz w:val="18"/>
          <w:szCs w:val="18"/>
          <w:rtl/>
        </w:rPr>
      </w:pPr>
      <w:r w:rsidRPr="00897AA7">
        <w:rPr>
          <w:sz w:val="18"/>
          <w:szCs w:val="18"/>
        </w:rPr>
        <w:t>*Other includes (Independent Room, Tent, Marginal…etc).</w:t>
      </w:r>
    </w:p>
    <w:p w:rsidR="00897AA7" w:rsidRPr="007B3B4B" w:rsidRDefault="00897AA7" w:rsidP="00897AA7">
      <w:pPr>
        <w:bidi w:val="0"/>
        <w:jc w:val="both"/>
        <w:rPr>
          <w:b/>
          <w:bCs/>
          <w:sz w:val="16"/>
          <w:szCs w:val="16"/>
        </w:rPr>
      </w:pPr>
    </w:p>
    <w:p w:rsidR="007F34D5" w:rsidRPr="007B3B4B" w:rsidRDefault="00FD7EA5" w:rsidP="00897AA7">
      <w:pPr>
        <w:bidi w:val="0"/>
        <w:jc w:val="both"/>
        <w:rPr>
          <w:b/>
          <w:bCs/>
          <w:sz w:val="28"/>
          <w:szCs w:val="28"/>
        </w:rPr>
      </w:pPr>
      <w:r w:rsidRPr="007B3B4B">
        <w:rPr>
          <w:b/>
          <w:bCs/>
          <w:sz w:val="28"/>
          <w:szCs w:val="28"/>
        </w:rPr>
        <w:t>In A</w:t>
      </w:r>
      <w:r w:rsidR="00153C3A" w:rsidRPr="007B3B4B">
        <w:rPr>
          <w:b/>
          <w:bCs/>
          <w:sz w:val="28"/>
          <w:szCs w:val="28"/>
        </w:rPr>
        <w:t>verage</w:t>
      </w:r>
      <w:r w:rsidR="00EC63FE" w:rsidRPr="007B3B4B">
        <w:rPr>
          <w:b/>
          <w:bCs/>
          <w:sz w:val="28"/>
          <w:szCs w:val="28"/>
        </w:rPr>
        <w:t>,</w:t>
      </w:r>
      <w:r w:rsidR="00153C3A" w:rsidRPr="007B3B4B">
        <w:rPr>
          <w:b/>
          <w:bCs/>
          <w:sz w:val="28"/>
          <w:szCs w:val="28"/>
        </w:rPr>
        <w:t xml:space="preserve"> </w:t>
      </w:r>
      <w:r w:rsidR="00FF41BA" w:rsidRPr="007B3B4B">
        <w:rPr>
          <w:b/>
          <w:bCs/>
          <w:sz w:val="28"/>
          <w:szCs w:val="28"/>
        </w:rPr>
        <w:t>1.</w:t>
      </w:r>
      <w:r w:rsidR="007D33E1" w:rsidRPr="007B3B4B">
        <w:rPr>
          <w:b/>
          <w:bCs/>
          <w:sz w:val="28"/>
          <w:szCs w:val="28"/>
        </w:rPr>
        <w:t>4</w:t>
      </w:r>
      <w:r w:rsidR="007F34D5" w:rsidRPr="007B3B4B">
        <w:rPr>
          <w:b/>
          <w:bCs/>
          <w:sz w:val="28"/>
          <w:szCs w:val="28"/>
        </w:rPr>
        <w:t xml:space="preserve"> Persons per Room in the Housing Unit in </w:t>
      </w:r>
      <w:r w:rsidR="00EC63FE" w:rsidRPr="007B3B4B">
        <w:rPr>
          <w:b/>
          <w:bCs/>
          <w:sz w:val="28"/>
          <w:szCs w:val="28"/>
        </w:rPr>
        <w:t xml:space="preserve">the </w:t>
      </w:r>
      <w:r w:rsidR="007D33E1" w:rsidRPr="007B3B4B">
        <w:rPr>
          <w:b/>
          <w:bCs/>
          <w:sz w:val="28"/>
          <w:szCs w:val="28"/>
        </w:rPr>
        <w:t>West Bank</w:t>
      </w:r>
    </w:p>
    <w:p w:rsidR="004831CC" w:rsidRPr="007B3B4B" w:rsidRDefault="00A30093" w:rsidP="00897AA7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>R</w:t>
      </w:r>
      <w:r w:rsidR="007F34D5" w:rsidRPr="007B3B4B">
        <w:rPr>
          <w:sz w:val="26"/>
          <w:szCs w:val="26"/>
        </w:rPr>
        <w:t xml:space="preserve">esults showed that the average housing density (number of persons per room) in </w:t>
      </w:r>
      <w:r w:rsidR="00EC63FE" w:rsidRPr="007B3B4B">
        <w:rPr>
          <w:sz w:val="26"/>
          <w:szCs w:val="26"/>
        </w:rPr>
        <w:t xml:space="preserve">the </w:t>
      </w:r>
      <w:r w:rsidR="00947E42" w:rsidRPr="007B3B4B">
        <w:rPr>
          <w:sz w:val="26"/>
          <w:szCs w:val="26"/>
        </w:rPr>
        <w:t>West Bank</w:t>
      </w:r>
      <w:r w:rsidR="007F34D5" w:rsidRPr="007B3B4B">
        <w:rPr>
          <w:sz w:val="26"/>
          <w:szCs w:val="26"/>
        </w:rPr>
        <w:t xml:space="preserve"> in 202</w:t>
      </w:r>
      <w:r w:rsidR="00947E42" w:rsidRPr="007B3B4B">
        <w:rPr>
          <w:sz w:val="26"/>
          <w:szCs w:val="26"/>
        </w:rPr>
        <w:t>3</w:t>
      </w:r>
      <w:r w:rsidR="007F34D5" w:rsidRPr="007B3B4B">
        <w:rPr>
          <w:sz w:val="26"/>
          <w:szCs w:val="26"/>
        </w:rPr>
        <w:t xml:space="preserve"> was</w:t>
      </w:r>
      <w:r w:rsidR="00CA6AE4" w:rsidRPr="007B3B4B">
        <w:rPr>
          <w:sz w:val="26"/>
          <w:szCs w:val="26"/>
        </w:rPr>
        <w:t xml:space="preserve"> </w:t>
      </w:r>
      <w:r w:rsidR="004A76F5" w:rsidRPr="007B3B4B">
        <w:rPr>
          <w:sz w:val="26"/>
          <w:szCs w:val="26"/>
        </w:rPr>
        <w:t>1.</w:t>
      </w:r>
      <w:r w:rsidR="00947E42" w:rsidRPr="007B3B4B">
        <w:rPr>
          <w:sz w:val="26"/>
          <w:szCs w:val="26"/>
        </w:rPr>
        <w:t>4</w:t>
      </w:r>
      <w:r w:rsidR="007F34D5" w:rsidRPr="007B3B4B">
        <w:rPr>
          <w:sz w:val="26"/>
          <w:szCs w:val="26"/>
        </w:rPr>
        <w:t xml:space="preserve"> perso</w:t>
      </w:r>
      <w:r w:rsidR="00CA6AE4" w:rsidRPr="007B3B4B">
        <w:rPr>
          <w:sz w:val="26"/>
          <w:szCs w:val="26"/>
        </w:rPr>
        <w:t>ns per room</w:t>
      </w:r>
      <w:r w:rsidR="004A76F5" w:rsidRPr="007B3B4B">
        <w:rPr>
          <w:sz w:val="26"/>
          <w:szCs w:val="26"/>
        </w:rPr>
        <w:t>: 1.</w:t>
      </w:r>
      <w:r w:rsidR="00947E42" w:rsidRPr="007B3B4B">
        <w:rPr>
          <w:sz w:val="26"/>
          <w:szCs w:val="26"/>
        </w:rPr>
        <w:t xml:space="preserve">4 persons per room in urban, 1.5 persons per room in </w:t>
      </w:r>
      <w:r w:rsidR="004A76F5" w:rsidRPr="007B3B4B">
        <w:rPr>
          <w:sz w:val="26"/>
          <w:szCs w:val="26"/>
        </w:rPr>
        <w:t>rural areas, and 1.</w:t>
      </w:r>
      <w:r w:rsidR="00947E42" w:rsidRPr="007B3B4B">
        <w:rPr>
          <w:sz w:val="26"/>
          <w:szCs w:val="26"/>
        </w:rPr>
        <w:t>6</w:t>
      </w:r>
      <w:r w:rsidR="004A76F5" w:rsidRPr="007B3B4B">
        <w:rPr>
          <w:sz w:val="26"/>
          <w:szCs w:val="26"/>
        </w:rPr>
        <w:t xml:space="preserve"> persons per room in refugee camps.</w:t>
      </w:r>
    </w:p>
    <w:p w:rsidR="00A97C88" w:rsidRPr="007B3B4B" w:rsidRDefault="00A97C88" w:rsidP="00A97C88">
      <w:pPr>
        <w:bidi w:val="0"/>
        <w:jc w:val="both"/>
        <w:rPr>
          <w:sz w:val="10"/>
          <w:szCs w:val="10"/>
        </w:rPr>
      </w:pPr>
    </w:p>
    <w:p w:rsidR="007F34D5" w:rsidRPr="007B3B4B" w:rsidRDefault="00CF36EE" w:rsidP="004831CC">
      <w:pPr>
        <w:bidi w:val="0"/>
        <w:jc w:val="both"/>
        <w:rPr>
          <w:sz w:val="28"/>
          <w:szCs w:val="28"/>
        </w:rPr>
      </w:pPr>
      <w:r w:rsidRPr="007B3B4B">
        <w:rPr>
          <w:b/>
          <w:bCs/>
          <w:sz w:val="28"/>
          <w:szCs w:val="28"/>
        </w:rPr>
        <w:t>5</w:t>
      </w:r>
      <w:r w:rsidR="007F34D5" w:rsidRPr="007B3B4B">
        <w:rPr>
          <w:b/>
          <w:bCs/>
          <w:sz w:val="28"/>
          <w:szCs w:val="28"/>
        </w:rPr>
        <w:t>% of Household</w:t>
      </w:r>
      <w:r w:rsidR="00CE0249" w:rsidRPr="007B3B4B">
        <w:rPr>
          <w:b/>
          <w:bCs/>
          <w:sz w:val="28"/>
          <w:szCs w:val="28"/>
        </w:rPr>
        <w:t>s</w:t>
      </w:r>
      <w:r w:rsidR="007F34D5" w:rsidRPr="007B3B4B">
        <w:rPr>
          <w:b/>
          <w:bCs/>
          <w:sz w:val="28"/>
          <w:szCs w:val="28"/>
        </w:rPr>
        <w:t xml:space="preserve"> in the West Bank Liv</w:t>
      </w:r>
      <w:r w:rsidR="00D05BC7" w:rsidRPr="007B3B4B">
        <w:rPr>
          <w:b/>
          <w:bCs/>
          <w:sz w:val="28"/>
          <w:szCs w:val="28"/>
        </w:rPr>
        <w:t>e in Overcrowded Housing Units</w:t>
      </w:r>
    </w:p>
    <w:p w:rsidR="007F34D5" w:rsidRPr="007B3B4B" w:rsidRDefault="00561122" w:rsidP="006A0781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Data indicated that </w:t>
      </w:r>
      <w:r w:rsidR="00D05BC7" w:rsidRPr="007B3B4B">
        <w:rPr>
          <w:sz w:val="26"/>
          <w:szCs w:val="26"/>
        </w:rPr>
        <w:t>5</w:t>
      </w:r>
      <w:r w:rsidR="007F34D5" w:rsidRPr="007B3B4B">
        <w:rPr>
          <w:sz w:val="26"/>
          <w:szCs w:val="26"/>
        </w:rPr>
        <w:t xml:space="preserve">% of households in </w:t>
      </w:r>
      <w:r w:rsidR="00EC63FE" w:rsidRPr="007B3B4B">
        <w:rPr>
          <w:sz w:val="26"/>
          <w:szCs w:val="26"/>
        </w:rPr>
        <w:t xml:space="preserve">the </w:t>
      </w:r>
      <w:r w:rsidR="00D05BC7" w:rsidRPr="007B3B4B">
        <w:rPr>
          <w:sz w:val="26"/>
          <w:szCs w:val="26"/>
        </w:rPr>
        <w:t>West Bank</w:t>
      </w:r>
      <w:r w:rsidR="007F34D5" w:rsidRPr="007B3B4B">
        <w:rPr>
          <w:sz w:val="26"/>
          <w:szCs w:val="26"/>
        </w:rPr>
        <w:t xml:space="preserve"> live in housing units with three persons or more per </w:t>
      </w:r>
      <w:r w:rsidR="00D05BC7" w:rsidRPr="007B3B4B">
        <w:rPr>
          <w:sz w:val="26"/>
          <w:szCs w:val="26"/>
        </w:rPr>
        <w:t>room</w:t>
      </w:r>
      <w:r w:rsidR="007F34D5" w:rsidRPr="007B3B4B">
        <w:rPr>
          <w:sz w:val="26"/>
          <w:szCs w:val="26"/>
        </w:rPr>
        <w:t>, and by type of locality:</w:t>
      </w:r>
      <w:r w:rsidR="00CF36EE" w:rsidRPr="007B3B4B">
        <w:rPr>
          <w:sz w:val="26"/>
          <w:szCs w:val="26"/>
        </w:rPr>
        <w:t xml:space="preserve"> </w:t>
      </w:r>
      <w:r w:rsidR="006A0781" w:rsidRPr="007B3B4B">
        <w:rPr>
          <w:sz w:val="26"/>
          <w:szCs w:val="26"/>
        </w:rPr>
        <w:t xml:space="preserve">4% of households in urban, 7% in </w:t>
      </w:r>
      <w:r w:rsidR="00CF36EE" w:rsidRPr="007B3B4B">
        <w:rPr>
          <w:sz w:val="26"/>
          <w:szCs w:val="26"/>
        </w:rPr>
        <w:t>rural areas</w:t>
      </w:r>
      <w:r w:rsidR="007F34D5" w:rsidRPr="007B3B4B">
        <w:rPr>
          <w:sz w:val="26"/>
          <w:szCs w:val="26"/>
        </w:rPr>
        <w:t>, and</w:t>
      </w:r>
      <w:r w:rsidR="00CF36EE" w:rsidRPr="007B3B4B">
        <w:rPr>
          <w:sz w:val="26"/>
          <w:szCs w:val="26"/>
        </w:rPr>
        <w:t xml:space="preserve"> 9</w:t>
      </w:r>
      <w:r w:rsidR="007F34D5" w:rsidRPr="007B3B4B">
        <w:rPr>
          <w:sz w:val="26"/>
          <w:szCs w:val="26"/>
        </w:rPr>
        <w:t>% in refugee camps in 202</w:t>
      </w:r>
      <w:r w:rsidR="006A0781" w:rsidRPr="007B3B4B">
        <w:rPr>
          <w:sz w:val="26"/>
          <w:szCs w:val="26"/>
        </w:rPr>
        <w:t>3</w:t>
      </w:r>
      <w:r w:rsidR="007F34D5" w:rsidRPr="007B3B4B">
        <w:rPr>
          <w:sz w:val="26"/>
          <w:szCs w:val="26"/>
        </w:rPr>
        <w:t xml:space="preserve">. </w:t>
      </w:r>
    </w:p>
    <w:p w:rsidR="00407541" w:rsidRPr="007B3B4B" w:rsidRDefault="00407541" w:rsidP="00CC631B">
      <w:pPr>
        <w:bidi w:val="0"/>
        <w:jc w:val="both"/>
        <w:rPr>
          <w:sz w:val="10"/>
          <w:szCs w:val="10"/>
        </w:rPr>
      </w:pPr>
    </w:p>
    <w:p w:rsidR="007F34D5" w:rsidRPr="007B3B4B" w:rsidRDefault="007F34D5" w:rsidP="000F6447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Data indicated that the average number of rooms in </w:t>
      </w:r>
      <w:r w:rsidR="000073BE" w:rsidRPr="007B3B4B">
        <w:rPr>
          <w:sz w:val="26"/>
          <w:szCs w:val="26"/>
        </w:rPr>
        <w:t xml:space="preserve">a housing </w:t>
      </w:r>
      <w:r w:rsidRPr="007B3B4B">
        <w:rPr>
          <w:sz w:val="26"/>
          <w:szCs w:val="26"/>
        </w:rPr>
        <w:t>unit in</w:t>
      </w:r>
      <w:r w:rsidR="00EC63FE" w:rsidRPr="007B3B4B">
        <w:rPr>
          <w:sz w:val="26"/>
          <w:szCs w:val="26"/>
        </w:rPr>
        <w:t xml:space="preserve"> the</w:t>
      </w:r>
      <w:r w:rsidRPr="007B3B4B">
        <w:rPr>
          <w:sz w:val="26"/>
          <w:szCs w:val="26"/>
        </w:rPr>
        <w:t xml:space="preserve"> </w:t>
      </w:r>
      <w:r w:rsidR="000F6447" w:rsidRPr="007B3B4B">
        <w:rPr>
          <w:sz w:val="26"/>
          <w:szCs w:val="26"/>
        </w:rPr>
        <w:t>West Bank</w:t>
      </w:r>
      <w:r w:rsidRPr="007B3B4B">
        <w:rPr>
          <w:sz w:val="26"/>
          <w:szCs w:val="26"/>
        </w:rPr>
        <w:t xml:space="preserve"> was</w:t>
      </w:r>
      <w:r w:rsidR="00CC631B" w:rsidRPr="007B3B4B">
        <w:rPr>
          <w:sz w:val="26"/>
          <w:szCs w:val="26"/>
        </w:rPr>
        <w:t xml:space="preserve"> 3.5</w:t>
      </w:r>
      <w:r w:rsidR="006478C4" w:rsidRPr="007B3B4B">
        <w:rPr>
          <w:sz w:val="26"/>
          <w:szCs w:val="26"/>
        </w:rPr>
        <w:t xml:space="preserve"> room</w:t>
      </w:r>
      <w:r w:rsidR="00FF306C" w:rsidRPr="007B3B4B">
        <w:rPr>
          <w:sz w:val="26"/>
          <w:szCs w:val="26"/>
        </w:rPr>
        <w:t>s</w:t>
      </w:r>
      <w:r w:rsidR="00FD7EA5" w:rsidRPr="007B3B4B">
        <w:rPr>
          <w:sz w:val="26"/>
          <w:szCs w:val="26"/>
        </w:rPr>
        <w:t xml:space="preserve"> </w:t>
      </w:r>
      <w:r w:rsidRPr="007B3B4B">
        <w:rPr>
          <w:sz w:val="26"/>
          <w:szCs w:val="26"/>
        </w:rPr>
        <w:t>in 202</w:t>
      </w:r>
      <w:r w:rsidR="000F6447" w:rsidRPr="007B3B4B">
        <w:rPr>
          <w:sz w:val="26"/>
          <w:szCs w:val="26"/>
        </w:rPr>
        <w:t>3</w:t>
      </w:r>
      <w:r w:rsidRPr="007B3B4B">
        <w:rPr>
          <w:sz w:val="26"/>
          <w:szCs w:val="26"/>
        </w:rPr>
        <w:t>, where</w:t>
      </w:r>
      <w:r w:rsidR="005314DE" w:rsidRPr="007B3B4B">
        <w:rPr>
          <w:sz w:val="26"/>
          <w:szCs w:val="26"/>
        </w:rPr>
        <w:t xml:space="preserve"> </w:t>
      </w:r>
      <w:r w:rsidR="00CC631B" w:rsidRPr="007B3B4B">
        <w:rPr>
          <w:sz w:val="26"/>
          <w:szCs w:val="26"/>
        </w:rPr>
        <w:t>3.5</w:t>
      </w:r>
      <w:r w:rsidR="006478C4" w:rsidRPr="007B3B4B">
        <w:rPr>
          <w:sz w:val="26"/>
          <w:szCs w:val="26"/>
        </w:rPr>
        <w:t xml:space="preserve"> room</w:t>
      </w:r>
      <w:r w:rsidR="00B72189" w:rsidRPr="007B3B4B">
        <w:rPr>
          <w:sz w:val="26"/>
          <w:szCs w:val="26"/>
        </w:rPr>
        <w:t>s</w:t>
      </w:r>
      <w:r w:rsidR="00FD7EA5" w:rsidRPr="007B3B4B">
        <w:rPr>
          <w:sz w:val="26"/>
          <w:szCs w:val="26"/>
        </w:rPr>
        <w:t xml:space="preserve"> </w:t>
      </w:r>
      <w:r w:rsidRPr="007B3B4B">
        <w:rPr>
          <w:sz w:val="26"/>
          <w:szCs w:val="26"/>
        </w:rPr>
        <w:t>in urban</w:t>
      </w:r>
      <w:r w:rsidR="005314DE" w:rsidRPr="007B3B4B">
        <w:rPr>
          <w:sz w:val="26"/>
          <w:szCs w:val="26"/>
        </w:rPr>
        <w:t xml:space="preserve"> and</w:t>
      </w:r>
      <w:r w:rsidR="00CC631B" w:rsidRPr="007B3B4B">
        <w:rPr>
          <w:sz w:val="26"/>
          <w:szCs w:val="26"/>
        </w:rPr>
        <w:t xml:space="preserve"> 3.6</w:t>
      </w:r>
      <w:r w:rsidR="005314DE" w:rsidRPr="007B3B4B">
        <w:rPr>
          <w:sz w:val="26"/>
          <w:szCs w:val="26"/>
        </w:rPr>
        <w:t xml:space="preserve"> </w:t>
      </w:r>
      <w:r w:rsidR="006478C4" w:rsidRPr="007B3B4B">
        <w:rPr>
          <w:sz w:val="26"/>
          <w:szCs w:val="26"/>
        </w:rPr>
        <w:t>room</w:t>
      </w:r>
      <w:r w:rsidR="00B72189" w:rsidRPr="007B3B4B">
        <w:rPr>
          <w:sz w:val="26"/>
          <w:szCs w:val="26"/>
        </w:rPr>
        <w:t>s</w:t>
      </w:r>
      <w:r w:rsidR="00CC631B" w:rsidRPr="007B3B4B">
        <w:rPr>
          <w:sz w:val="26"/>
          <w:szCs w:val="26"/>
        </w:rPr>
        <w:t xml:space="preserve"> in rural </w:t>
      </w:r>
      <w:r w:rsidR="005314DE" w:rsidRPr="007B3B4B">
        <w:rPr>
          <w:sz w:val="26"/>
          <w:szCs w:val="26"/>
        </w:rPr>
        <w:t>areas</w:t>
      </w:r>
      <w:r w:rsidRPr="007B3B4B">
        <w:rPr>
          <w:sz w:val="26"/>
          <w:szCs w:val="26"/>
        </w:rPr>
        <w:t>, compared to</w:t>
      </w:r>
      <w:r w:rsidR="005314DE" w:rsidRPr="007B3B4B">
        <w:rPr>
          <w:sz w:val="26"/>
          <w:szCs w:val="26"/>
        </w:rPr>
        <w:t xml:space="preserve"> </w:t>
      </w:r>
      <w:r w:rsidR="00CC631B" w:rsidRPr="007B3B4B">
        <w:rPr>
          <w:sz w:val="26"/>
          <w:szCs w:val="26"/>
        </w:rPr>
        <w:t>3.2</w:t>
      </w:r>
      <w:r w:rsidR="006478C4" w:rsidRPr="007B3B4B">
        <w:rPr>
          <w:sz w:val="26"/>
          <w:szCs w:val="26"/>
        </w:rPr>
        <w:t xml:space="preserve"> room</w:t>
      </w:r>
      <w:r w:rsidR="00B72189" w:rsidRPr="007B3B4B">
        <w:rPr>
          <w:sz w:val="26"/>
          <w:szCs w:val="26"/>
        </w:rPr>
        <w:t>s</w:t>
      </w:r>
      <w:r w:rsidR="00FD7EA5" w:rsidRPr="007B3B4B">
        <w:rPr>
          <w:sz w:val="26"/>
          <w:szCs w:val="26"/>
        </w:rPr>
        <w:t xml:space="preserve"> </w:t>
      </w:r>
      <w:r w:rsidRPr="007B3B4B">
        <w:rPr>
          <w:sz w:val="26"/>
          <w:szCs w:val="26"/>
        </w:rPr>
        <w:t>in refugee camps.</w:t>
      </w:r>
    </w:p>
    <w:p w:rsidR="008E7EB7" w:rsidRPr="007B3B4B" w:rsidRDefault="008E7EB7" w:rsidP="008E7EB7">
      <w:pPr>
        <w:bidi w:val="0"/>
        <w:jc w:val="both"/>
        <w:rPr>
          <w:sz w:val="10"/>
          <w:szCs w:val="10"/>
        </w:rPr>
      </w:pPr>
    </w:p>
    <w:p w:rsidR="007F34D5" w:rsidRPr="007B3B4B" w:rsidRDefault="00492D01" w:rsidP="00EC63FE">
      <w:pPr>
        <w:bidi w:val="0"/>
        <w:jc w:val="both"/>
        <w:rPr>
          <w:b/>
          <w:bCs/>
          <w:sz w:val="28"/>
          <w:szCs w:val="28"/>
        </w:rPr>
      </w:pPr>
      <w:r w:rsidRPr="007B3B4B">
        <w:rPr>
          <w:b/>
          <w:bCs/>
          <w:sz w:val="28"/>
          <w:szCs w:val="28"/>
        </w:rPr>
        <w:t>42</w:t>
      </w:r>
      <w:r w:rsidR="007F34D5" w:rsidRPr="007B3B4B">
        <w:rPr>
          <w:b/>
          <w:bCs/>
          <w:sz w:val="28"/>
          <w:szCs w:val="28"/>
        </w:rPr>
        <w:t xml:space="preserve">% of </w:t>
      </w:r>
      <w:r w:rsidR="00EC63FE" w:rsidRPr="007B3B4B">
        <w:rPr>
          <w:b/>
          <w:bCs/>
          <w:sz w:val="28"/>
          <w:szCs w:val="28"/>
        </w:rPr>
        <w:t xml:space="preserve">the Households in </w:t>
      </w:r>
      <w:r w:rsidR="00CE0249" w:rsidRPr="007B3B4B">
        <w:rPr>
          <w:b/>
          <w:bCs/>
          <w:sz w:val="28"/>
          <w:szCs w:val="28"/>
        </w:rPr>
        <w:t xml:space="preserve">the </w:t>
      </w:r>
      <w:r w:rsidRPr="007B3B4B">
        <w:rPr>
          <w:b/>
          <w:bCs/>
          <w:sz w:val="28"/>
          <w:szCs w:val="28"/>
        </w:rPr>
        <w:t>West Bank</w:t>
      </w:r>
      <w:r w:rsidR="007F34D5" w:rsidRPr="007B3B4B">
        <w:rPr>
          <w:b/>
          <w:bCs/>
          <w:sz w:val="28"/>
          <w:szCs w:val="28"/>
        </w:rPr>
        <w:t xml:space="preserve"> Live in Housing Units Connected to Wastewater Networks </w:t>
      </w:r>
    </w:p>
    <w:p w:rsidR="000F6447" w:rsidRPr="006E599B" w:rsidRDefault="00561122" w:rsidP="00E1271D">
      <w:pPr>
        <w:bidi w:val="0"/>
        <w:jc w:val="both"/>
        <w:rPr>
          <w:rFonts w:ascii="Arial" w:hAnsi="Arial" w:cs="Arial"/>
          <w:sz w:val="26"/>
          <w:szCs w:val="26"/>
          <w:rtl/>
        </w:rPr>
      </w:pPr>
      <w:r w:rsidRPr="007B3B4B">
        <w:rPr>
          <w:sz w:val="26"/>
          <w:szCs w:val="26"/>
        </w:rPr>
        <w:t xml:space="preserve">Data indicated that </w:t>
      </w:r>
      <w:r w:rsidR="00492D01" w:rsidRPr="007B3B4B">
        <w:rPr>
          <w:sz w:val="26"/>
          <w:szCs w:val="26"/>
        </w:rPr>
        <w:t>42</w:t>
      </w:r>
      <w:r w:rsidR="005F1223" w:rsidRPr="007B3B4B">
        <w:rPr>
          <w:sz w:val="26"/>
          <w:szCs w:val="26"/>
        </w:rPr>
        <w:t>%</w:t>
      </w:r>
      <w:r w:rsidR="007F34D5" w:rsidRPr="007B3B4B">
        <w:rPr>
          <w:sz w:val="26"/>
          <w:szCs w:val="26"/>
        </w:rPr>
        <w:t xml:space="preserve"> of the </w:t>
      </w:r>
      <w:r w:rsidR="00EC63FE" w:rsidRPr="007B3B4B">
        <w:rPr>
          <w:sz w:val="26"/>
          <w:szCs w:val="26"/>
        </w:rPr>
        <w:t xml:space="preserve">households in the </w:t>
      </w:r>
      <w:r w:rsidR="00492D01" w:rsidRPr="007B3B4B">
        <w:rPr>
          <w:sz w:val="26"/>
          <w:szCs w:val="26"/>
        </w:rPr>
        <w:t>West Bank</w:t>
      </w:r>
      <w:r w:rsidR="007F34D5" w:rsidRPr="007B3B4B">
        <w:rPr>
          <w:sz w:val="26"/>
          <w:szCs w:val="26"/>
        </w:rPr>
        <w:t xml:space="preserve"> in 202</w:t>
      </w:r>
      <w:r w:rsidR="00492D01" w:rsidRPr="007B3B4B">
        <w:rPr>
          <w:sz w:val="26"/>
          <w:szCs w:val="26"/>
        </w:rPr>
        <w:t>3</w:t>
      </w:r>
      <w:r w:rsidR="007F34D5" w:rsidRPr="007B3B4B">
        <w:rPr>
          <w:sz w:val="26"/>
          <w:szCs w:val="26"/>
        </w:rPr>
        <w:t xml:space="preserve"> used wastewater networks to dispose their wastewater</w:t>
      </w:r>
      <w:r w:rsidR="00EC63FE" w:rsidRPr="007B3B4B">
        <w:rPr>
          <w:sz w:val="26"/>
          <w:szCs w:val="26"/>
        </w:rPr>
        <w:t>. A</w:t>
      </w:r>
      <w:r w:rsidR="00492D01" w:rsidRPr="007B3B4B">
        <w:rPr>
          <w:sz w:val="26"/>
          <w:szCs w:val="26"/>
        </w:rPr>
        <w:t>lso</w:t>
      </w:r>
      <w:r w:rsidR="00EC63FE" w:rsidRPr="007B3B4B">
        <w:rPr>
          <w:sz w:val="26"/>
          <w:szCs w:val="26"/>
        </w:rPr>
        <w:t>,</w:t>
      </w:r>
      <w:r w:rsidR="007F34D5" w:rsidRPr="007B3B4B">
        <w:rPr>
          <w:sz w:val="26"/>
          <w:szCs w:val="26"/>
        </w:rPr>
        <w:t xml:space="preserve"> </w:t>
      </w:r>
      <w:r w:rsidR="00492D01" w:rsidRPr="007B3B4B">
        <w:rPr>
          <w:rFonts w:hint="cs"/>
          <w:sz w:val="26"/>
          <w:szCs w:val="26"/>
          <w:rtl/>
        </w:rPr>
        <w:t>42</w:t>
      </w:r>
      <w:r w:rsidR="007F34D5" w:rsidRPr="007B3B4B">
        <w:rPr>
          <w:sz w:val="26"/>
          <w:szCs w:val="26"/>
        </w:rPr>
        <w:t xml:space="preserve">% of households used septic tank, </w:t>
      </w:r>
      <w:r w:rsidR="005F1223" w:rsidRPr="007B3B4B">
        <w:rPr>
          <w:sz w:val="26"/>
          <w:szCs w:val="26"/>
        </w:rPr>
        <w:t>1</w:t>
      </w:r>
      <w:r w:rsidR="00492D01" w:rsidRPr="007B3B4B">
        <w:rPr>
          <w:rFonts w:hint="cs"/>
          <w:sz w:val="26"/>
          <w:szCs w:val="26"/>
          <w:rtl/>
        </w:rPr>
        <w:t>5</w:t>
      </w:r>
      <w:r w:rsidR="00492D01" w:rsidRPr="007B3B4B">
        <w:rPr>
          <w:sz w:val="26"/>
          <w:szCs w:val="26"/>
        </w:rPr>
        <w:t xml:space="preserve">% of households used pit latrine </w:t>
      </w:r>
      <w:r w:rsidR="007F34D5" w:rsidRPr="006E599B">
        <w:rPr>
          <w:rFonts w:ascii="Arial" w:hAnsi="Arial" w:cs="Arial"/>
          <w:sz w:val="26"/>
          <w:szCs w:val="26"/>
          <w:rtl/>
        </w:rPr>
        <w:t xml:space="preserve"> </w:t>
      </w:r>
      <w:r w:rsidR="007F34D5" w:rsidRPr="007B3B4B">
        <w:rPr>
          <w:sz w:val="26"/>
          <w:szCs w:val="26"/>
        </w:rPr>
        <w:t>and</w:t>
      </w:r>
      <w:r w:rsidR="005F1223" w:rsidRPr="006E599B">
        <w:rPr>
          <w:sz w:val="26"/>
          <w:szCs w:val="26"/>
        </w:rPr>
        <w:t xml:space="preserve"> </w:t>
      </w:r>
      <w:r w:rsidR="00492D01" w:rsidRPr="006E599B">
        <w:rPr>
          <w:sz w:val="26"/>
          <w:szCs w:val="26"/>
        </w:rPr>
        <w:t xml:space="preserve">less than </w:t>
      </w:r>
      <w:r w:rsidR="00492D01" w:rsidRPr="007B3B4B">
        <w:rPr>
          <w:sz w:val="26"/>
          <w:szCs w:val="26"/>
        </w:rPr>
        <w:t>1</w:t>
      </w:r>
      <w:r w:rsidR="007F34D5" w:rsidRPr="007B3B4B">
        <w:rPr>
          <w:sz w:val="26"/>
          <w:szCs w:val="26"/>
        </w:rPr>
        <w:t>% of households used other methods to dispose their wastewater</w:t>
      </w:r>
      <w:r w:rsidR="00492D01" w:rsidRPr="007B3B4B">
        <w:rPr>
          <w:sz w:val="26"/>
          <w:szCs w:val="26"/>
        </w:rPr>
        <w:t>.</w:t>
      </w:r>
      <w:r w:rsidR="000F6447" w:rsidRPr="006E599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7F34D5" w:rsidRPr="007B3B4B" w:rsidRDefault="007F34D5" w:rsidP="007F34D5">
      <w:pPr>
        <w:bidi w:val="0"/>
        <w:rPr>
          <w:sz w:val="10"/>
          <w:szCs w:val="10"/>
        </w:rPr>
      </w:pPr>
    </w:p>
    <w:p w:rsidR="00256F41" w:rsidRPr="007B3B4B" w:rsidRDefault="00256F41" w:rsidP="00612CC7">
      <w:pPr>
        <w:bidi w:val="0"/>
        <w:jc w:val="both"/>
        <w:rPr>
          <w:sz w:val="28"/>
          <w:szCs w:val="28"/>
        </w:rPr>
      </w:pPr>
      <w:r w:rsidRPr="007B3B4B">
        <w:rPr>
          <w:b/>
          <w:bCs/>
          <w:sz w:val="28"/>
          <w:szCs w:val="28"/>
        </w:rPr>
        <w:t xml:space="preserve">Most Housing Units in </w:t>
      </w:r>
      <w:r w:rsidR="00EC63FE" w:rsidRPr="007B3B4B">
        <w:rPr>
          <w:b/>
          <w:bCs/>
          <w:sz w:val="28"/>
          <w:szCs w:val="28"/>
        </w:rPr>
        <w:t xml:space="preserve">the </w:t>
      </w:r>
      <w:r w:rsidR="00612CC7" w:rsidRPr="007B3B4B">
        <w:rPr>
          <w:b/>
          <w:bCs/>
          <w:sz w:val="28"/>
          <w:szCs w:val="28"/>
        </w:rPr>
        <w:t>West Bank</w:t>
      </w:r>
      <w:r w:rsidRPr="007B3B4B">
        <w:rPr>
          <w:b/>
          <w:bCs/>
          <w:sz w:val="28"/>
          <w:szCs w:val="28"/>
        </w:rPr>
        <w:t xml:space="preserve"> has Improved Sanitation</w:t>
      </w:r>
    </w:p>
    <w:p w:rsidR="00FD5381" w:rsidRPr="007B3B4B" w:rsidRDefault="00375B61" w:rsidP="00EC63FE">
      <w:pPr>
        <w:bidi w:val="0"/>
        <w:jc w:val="both"/>
        <w:rPr>
          <w:b/>
          <w:bCs/>
          <w:sz w:val="26"/>
          <w:szCs w:val="26"/>
        </w:rPr>
      </w:pPr>
      <w:r w:rsidRPr="007B3B4B">
        <w:rPr>
          <w:sz w:val="26"/>
          <w:szCs w:val="26"/>
        </w:rPr>
        <w:t xml:space="preserve">Data indicated that </w:t>
      </w:r>
      <w:r w:rsidR="00400C5B" w:rsidRPr="007B3B4B">
        <w:rPr>
          <w:sz w:val="26"/>
          <w:szCs w:val="26"/>
        </w:rPr>
        <w:t>99</w:t>
      </w:r>
      <w:r w:rsidR="007F34D5" w:rsidRPr="007B3B4B">
        <w:rPr>
          <w:sz w:val="26"/>
          <w:szCs w:val="26"/>
        </w:rPr>
        <w:t xml:space="preserve">% of the </w:t>
      </w:r>
      <w:r w:rsidR="00EC63FE" w:rsidRPr="007B3B4B">
        <w:rPr>
          <w:sz w:val="26"/>
          <w:szCs w:val="26"/>
        </w:rPr>
        <w:t xml:space="preserve">households in the </w:t>
      </w:r>
      <w:r w:rsidR="00612CC7" w:rsidRPr="007B3B4B">
        <w:rPr>
          <w:sz w:val="26"/>
          <w:szCs w:val="26"/>
        </w:rPr>
        <w:t>West Bank</w:t>
      </w:r>
      <w:r w:rsidR="007F34D5" w:rsidRPr="007B3B4B">
        <w:rPr>
          <w:sz w:val="26"/>
          <w:szCs w:val="26"/>
        </w:rPr>
        <w:t xml:space="preserve"> in 202</w:t>
      </w:r>
      <w:r w:rsidR="00612CC7" w:rsidRPr="007B3B4B">
        <w:rPr>
          <w:sz w:val="26"/>
          <w:szCs w:val="26"/>
        </w:rPr>
        <w:t>3</w:t>
      </w:r>
      <w:r w:rsidR="007F34D5" w:rsidRPr="007B3B4B">
        <w:rPr>
          <w:sz w:val="26"/>
          <w:szCs w:val="26"/>
        </w:rPr>
        <w:t xml:space="preserve"> used improved</w:t>
      </w:r>
      <w:r w:rsidR="007F34D5" w:rsidRPr="007B3B4B">
        <w:rPr>
          <w:b/>
          <w:bCs/>
          <w:sz w:val="26"/>
          <w:szCs w:val="26"/>
        </w:rPr>
        <w:t xml:space="preserve"> </w:t>
      </w:r>
      <w:r w:rsidR="007F34D5" w:rsidRPr="007B3B4B">
        <w:rPr>
          <w:sz w:val="26"/>
          <w:szCs w:val="26"/>
        </w:rPr>
        <w:t xml:space="preserve">sanitation, which includes piped sewer system, septic tank and pit latrine. </w:t>
      </w:r>
    </w:p>
    <w:p w:rsidR="007976B9" w:rsidRPr="007B3B4B" w:rsidRDefault="007976B9" w:rsidP="007976B9">
      <w:pPr>
        <w:bidi w:val="0"/>
        <w:jc w:val="both"/>
        <w:rPr>
          <w:b/>
          <w:bCs/>
          <w:sz w:val="10"/>
          <w:szCs w:val="10"/>
          <w:rtl/>
        </w:rPr>
      </w:pPr>
    </w:p>
    <w:p w:rsidR="00A20CAC" w:rsidRPr="007B3B4B" w:rsidRDefault="00A20CAC" w:rsidP="00E1271D">
      <w:pPr>
        <w:bidi w:val="0"/>
        <w:jc w:val="both"/>
        <w:rPr>
          <w:b/>
          <w:bCs/>
          <w:sz w:val="28"/>
          <w:szCs w:val="28"/>
        </w:rPr>
      </w:pPr>
      <w:r w:rsidRPr="007B3B4B">
        <w:rPr>
          <w:b/>
          <w:bCs/>
          <w:sz w:val="28"/>
          <w:szCs w:val="28"/>
        </w:rPr>
        <w:t>135</w:t>
      </w:r>
      <w:r w:rsidRPr="007B3B4B">
        <w:rPr>
          <w:b/>
          <w:bCs/>
          <w:sz w:val="28"/>
          <w:szCs w:val="28"/>
          <w:rtl/>
        </w:rPr>
        <w:t xml:space="preserve"> </w:t>
      </w:r>
      <w:r w:rsidRPr="007B3B4B">
        <w:rPr>
          <w:b/>
          <w:bCs/>
          <w:sz w:val="28"/>
          <w:szCs w:val="28"/>
        </w:rPr>
        <w:t>m</w:t>
      </w:r>
      <w:r w:rsidRPr="007B3B4B">
        <w:rPr>
          <w:b/>
          <w:bCs/>
          <w:sz w:val="28"/>
          <w:szCs w:val="28"/>
          <w:vertAlign w:val="superscript"/>
        </w:rPr>
        <w:t>2</w:t>
      </w:r>
      <w:r w:rsidRPr="007B3B4B">
        <w:rPr>
          <w:b/>
          <w:bCs/>
          <w:sz w:val="28"/>
          <w:szCs w:val="28"/>
        </w:rPr>
        <w:t xml:space="preserve"> is the Average Housing Unit </w:t>
      </w:r>
      <w:r w:rsidR="00E1271D" w:rsidRPr="007B3B4B">
        <w:rPr>
          <w:b/>
          <w:bCs/>
          <w:sz w:val="28"/>
          <w:szCs w:val="28"/>
        </w:rPr>
        <w:t xml:space="preserve">Area </w:t>
      </w:r>
      <w:r w:rsidRPr="007B3B4B">
        <w:rPr>
          <w:b/>
          <w:bCs/>
          <w:sz w:val="28"/>
          <w:szCs w:val="28"/>
        </w:rPr>
        <w:t>in the West Bank</w:t>
      </w:r>
    </w:p>
    <w:p w:rsidR="00B21C1E" w:rsidRPr="007B3B4B" w:rsidRDefault="00A20CAC" w:rsidP="00897AA7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13% of </w:t>
      </w:r>
      <w:r w:rsidR="00EC63FE" w:rsidRPr="007B3B4B">
        <w:rPr>
          <w:sz w:val="26"/>
          <w:szCs w:val="26"/>
        </w:rPr>
        <w:t xml:space="preserve">the households in the </w:t>
      </w:r>
      <w:r w:rsidRPr="007B3B4B">
        <w:rPr>
          <w:sz w:val="26"/>
          <w:szCs w:val="26"/>
        </w:rPr>
        <w:t>West Bank in 2023 live in housing units with an area of ​​80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 xml:space="preserve"> or less, while the percentage of households living in housing units with an area of ​​200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 xml:space="preserve"> or more reached 10%, and the largest percentage of households, 41%, were concentrated in housing units with an area of ​​(120-159)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 xml:space="preserve">. </w:t>
      </w:r>
      <w:r w:rsidR="008D532B" w:rsidRPr="007B3B4B">
        <w:rPr>
          <w:sz w:val="26"/>
          <w:szCs w:val="26"/>
        </w:rPr>
        <w:t xml:space="preserve"> </w:t>
      </w:r>
      <w:r w:rsidRPr="007B3B4B">
        <w:rPr>
          <w:sz w:val="26"/>
          <w:szCs w:val="26"/>
        </w:rPr>
        <w:t>At the level of the type of locality, the average housing unit area in urban areas reached 137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>, in rural areas</w:t>
      </w:r>
      <w:r w:rsidR="00B21C1E" w:rsidRPr="007B3B4B">
        <w:rPr>
          <w:sz w:val="26"/>
          <w:szCs w:val="26"/>
        </w:rPr>
        <w:t xml:space="preserve"> reached</w:t>
      </w:r>
      <w:r w:rsidRPr="007B3B4B">
        <w:rPr>
          <w:sz w:val="26"/>
          <w:szCs w:val="26"/>
        </w:rPr>
        <w:t xml:space="preserve"> 136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 xml:space="preserve">, and in </w:t>
      </w:r>
      <w:r w:rsidR="005258C5" w:rsidRPr="007B3B4B">
        <w:rPr>
          <w:sz w:val="26"/>
          <w:szCs w:val="26"/>
        </w:rPr>
        <w:t>camps,</w:t>
      </w:r>
      <w:r w:rsidRPr="007B3B4B">
        <w:rPr>
          <w:sz w:val="26"/>
          <w:szCs w:val="26"/>
        </w:rPr>
        <w:t xml:space="preserve"> it reached 110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>.</w:t>
      </w:r>
    </w:p>
    <w:p w:rsidR="00A20CAC" w:rsidRPr="007B3B4B" w:rsidRDefault="00A20CAC" w:rsidP="00A20CAC">
      <w:pPr>
        <w:bidi w:val="0"/>
        <w:jc w:val="both"/>
        <w:rPr>
          <w:b/>
          <w:bCs/>
          <w:sz w:val="10"/>
          <w:szCs w:val="10"/>
        </w:rPr>
      </w:pPr>
    </w:p>
    <w:p w:rsidR="00F522C6" w:rsidRPr="007B3B4B" w:rsidRDefault="00F522C6" w:rsidP="00D84C2D">
      <w:pPr>
        <w:bidi w:val="0"/>
        <w:jc w:val="both"/>
        <w:rPr>
          <w:b/>
          <w:bCs/>
          <w:sz w:val="28"/>
          <w:szCs w:val="28"/>
        </w:rPr>
      </w:pPr>
      <w:r w:rsidRPr="007B3B4B">
        <w:rPr>
          <w:b/>
          <w:bCs/>
          <w:sz w:val="28"/>
          <w:szCs w:val="28"/>
        </w:rPr>
        <w:t xml:space="preserve">59% of the </w:t>
      </w:r>
      <w:r w:rsidR="00D84C2D" w:rsidRPr="007B3B4B">
        <w:rPr>
          <w:b/>
          <w:bCs/>
          <w:sz w:val="28"/>
          <w:szCs w:val="28"/>
        </w:rPr>
        <w:t xml:space="preserve">Housing Units in the </w:t>
      </w:r>
      <w:r w:rsidRPr="007B3B4B">
        <w:rPr>
          <w:b/>
          <w:bCs/>
          <w:sz w:val="28"/>
          <w:szCs w:val="28"/>
        </w:rPr>
        <w:t xml:space="preserve">West Bank are 20 years old or </w:t>
      </w:r>
      <w:r w:rsidR="00D84C2D" w:rsidRPr="007B3B4B">
        <w:rPr>
          <w:b/>
          <w:bCs/>
          <w:sz w:val="28"/>
          <w:szCs w:val="28"/>
        </w:rPr>
        <w:t xml:space="preserve">more </w:t>
      </w:r>
    </w:p>
    <w:p w:rsidR="00A20CAC" w:rsidRPr="007B3B4B" w:rsidRDefault="00F522C6" w:rsidP="00D84C2D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 xml:space="preserve">59% of </w:t>
      </w:r>
      <w:r w:rsidR="00D84C2D" w:rsidRPr="007B3B4B">
        <w:rPr>
          <w:sz w:val="26"/>
          <w:szCs w:val="26"/>
        </w:rPr>
        <w:t xml:space="preserve">the households in the </w:t>
      </w:r>
      <w:r w:rsidRPr="007B3B4B">
        <w:rPr>
          <w:sz w:val="26"/>
          <w:szCs w:val="26"/>
        </w:rPr>
        <w:t xml:space="preserve">West Bank in 2023 live in </w:t>
      </w:r>
      <w:r w:rsidR="00DC3511" w:rsidRPr="007B3B4B">
        <w:rPr>
          <w:sz w:val="26"/>
          <w:szCs w:val="26"/>
        </w:rPr>
        <w:t>housing units</w:t>
      </w:r>
      <w:r w:rsidRPr="007B3B4B">
        <w:rPr>
          <w:sz w:val="26"/>
          <w:szCs w:val="26"/>
        </w:rPr>
        <w:t xml:space="preserve"> that are 20 years old or </w:t>
      </w:r>
      <w:r w:rsidR="00D84C2D" w:rsidRPr="007B3B4B">
        <w:rPr>
          <w:sz w:val="26"/>
          <w:szCs w:val="26"/>
        </w:rPr>
        <w:t>more</w:t>
      </w:r>
      <w:r w:rsidRPr="007B3B4B">
        <w:rPr>
          <w:sz w:val="26"/>
          <w:szCs w:val="26"/>
        </w:rPr>
        <w:t xml:space="preserve">. At the level of </w:t>
      </w:r>
      <w:r w:rsidR="00DC3511" w:rsidRPr="007B3B4B">
        <w:rPr>
          <w:sz w:val="26"/>
          <w:szCs w:val="26"/>
        </w:rPr>
        <w:t>locality type</w:t>
      </w:r>
      <w:r w:rsidRPr="007B3B4B">
        <w:rPr>
          <w:sz w:val="26"/>
          <w:szCs w:val="26"/>
        </w:rPr>
        <w:t xml:space="preserve">, this percentage reached </w:t>
      </w:r>
      <w:r w:rsidR="00DC3511" w:rsidRPr="007B3B4B">
        <w:rPr>
          <w:sz w:val="26"/>
          <w:szCs w:val="26"/>
        </w:rPr>
        <w:t>57</w:t>
      </w:r>
      <w:r w:rsidRPr="007B3B4B">
        <w:rPr>
          <w:sz w:val="26"/>
          <w:szCs w:val="26"/>
        </w:rPr>
        <w:t xml:space="preserve">% in urban areas, 62% in rural areas, and 72% in </w:t>
      </w:r>
      <w:r w:rsidR="00BD7F54" w:rsidRPr="007B3B4B">
        <w:rPr>
          <w:sz w:val="26"/>
          <w:szCs w:val="26"/>
        </w:rPr>
        <w:t xml:space="preserve">refugee </w:t>
      </w:r>
      <w:r w:rsidRPr="007B3B4B">
        <w:rPr>
          <w:sz w:val="26"/>
          <w:szCs w:val="26"/>
        </w:rPr>
        <w:t>camps.</w:t>
      </w:r>
    </w:p>
    <w:p w:rsidR="00751077" w:rsidRPr="007B3B4B" w:rsidRDefault="00751077" w:rsidP="00751077">
      <w:pPr>
        <w:bidi w:val="0"/>
        <w:jc w:val="both"/>
        <w:rPr>
          <w:sz w:val="10"/>
          <w:szCs w:val="10"/>
        </w:rPr>
      </w:pPr>
    </w:p>
    <w:p w:rsidR="007F34D5" w:rsidRPr="007B3B4B" w:rsidRDefault="005258C5" w:rsidP="00D84C2D">
      <w:pPr>
        <w:bidi w:val="0"/>
        <w:jc w:val="both"/>
        <w:rPr>
          <w:b/>
          <w:bCs/>
          <w:sz w:val="28"/>
          <w:szCs w:val="28"/>
        </w:rPr>
      </w:pPr>
      <w:r w:rsidRPr="007B3B4B">
        <w:rPr>
          <w:b/>
          <w:bCs/>
          <w:sz w:val="28"/>
          <w:szCs w:val="28"/>
        </w:rPr>
        <w:t>Decrease</w:t>
      </w:r>
      <w:r w:rsidR="007F34D5" w:rsidRPr="007B3B4B">
        <w:rPr>
          <w:b/>
          <w:bCs/>
          <w:sz w:val="28"/>
          <w:szCs w:val="28"/>
        </w:rPr>
        <w:t xml:space="preserve"> in the Number of Licensed Housing Units for 202</w:t>
      </w:r>
      <w:r w:rsidRPr="007B3B4B">
        <w:rPr>
          <w:b/>
          <w:bCs/>
          <w:sz w:val="28"/>
          <w:szCs w:val="28"/>
        </w:rPr>
        <w:t>3</w:t>
      </w:r>
      <w:r w:rsidR="007F34D5" w:rsidRPr="007B3B4B">
        <w:rPr>
          <w:b/>
          <w:bCs/>
          <w:sz w:val="28"/>
          <w:szCs w:val="28"/>
        </w:rPr>
        <w:t xml:space="preserve"> Compared to Previous Years</w:t>
      </w:r>
    </w:p>
    <w:p w:rsidR="0056567B" w:rsidRPr="007B3B4B" w:rsidRDefault="007F34D5" w:rsidP="006E599B">
      <w:pPr>
        <w:bidi w:val="0"/>
        <w:jc w:val="both"/>
        <w:rPr>
          <w:sz w:val="26"/>
          <w:szCs w:val="26"/>
        </w:rPr>
      </w:pPr>
      <w:r w:rsidRPr="007B3B4B">
        <w:rPr>
          <w:sz w:val="26"/>
          <w:szCs w:val="26"/>
        </w:rPr>
        <w:t>The number of new and existing licensed housing units for 202</w:t>
      </w:r>
      <w:r w:rsidR="005258C5" w:rsidRPr="007B3B4B">
        <w:rPr>
          <w:sz w:val="26"/>
          <w:szCs w:val="26"/>
        </w:rPr>
        <w:t>3</w:t>
      </w:r>
      <w:r w:rsidRPr="007B3B4B">
        <w:rPr>
          <w:sz w:val="26"/>
          <w:szCs w:val="26"/>
        </w:rPr>
        <w:t xml:space="preserve"> reached </w:t>
      </w:r>
      <w:r w:rsidR="005258C5" w:rsidRPr="007B3B4B">
        <w:rPr>
          <w:sz w:val="26"/>
          <w:szCs w:val="26"/>
        </w:rPr>
        <w:t>18</w:t>
      </w:r>
      <w:r w:rsidRPr="007B3B4B">
        <w:rPr>
          <w:sz w:val="26"/>
          <w:szCs w:val="26"/>
        </w:rPr>
        <w:t>,</w:t>
      </w:r>
      <w:r w:rsidR="005258C5" w:rsidRPr="007B3B4B">
        <w:rPr>
          <w:sz w:val="26"/>
          <w:szCs w:val="26"/>
        </w:rPr>
        <w:t>997</w:t>
      </w:r>
      <w:r w:rsidRPr="007B3B4B">
        <w:rPr>
          <w:sz w:val="26"/>
          <w:szCs w:val="26"/>
        </w:rPr>
        <w:t xml:space="preserve"> licensed housing units in Palestine, with an average area of 16</w:t>
      </w:r>
      <w:r w:rsidR="005258C5" w:rsidRPr="007B3B4B">
        <w:rPr>
          <w:sz w:val="26"/>
          <w:szCs w:val="26"/>
        </w:rPr>
        <w:t>6</w:t>
      </w:r>
      <w:r w:rsidR="00E05A55" w:rsidRPr="007B3B4B">
        <w:rPr>
          <w:sz w:val="26"/>
          <w:szCs w:val="26"/>
        </w:rPr>
        <w:t>.</w:t>
      </w:r>
      <w:r w:rsidR="005258C5" w:rsidRPr="007B3B4B">
        <w:rPr>
          <w:sz w:val="26"/>
          <w:szCs w:val="26"/>
        </w:rPr>
        <w:t>4</w:t>
      </w:r>
      <w:r w:rsidRPr="007B3B4B">
        <w:rPr>
          <w:sz w:val="26"/>
          <w:szCs w:val="26"/>
        </w:rPr>
        <w:t xml:space="preserve"> m</w:t>
      </w:r>
      <w:r w:rsidRPr="007B3B4B">
        <w:rPr>
          <w:sz w:val="26"/>
          <w:szCs w:val="26"/>
          <w:vertAlign w:val="superscript"/>
        </w:rPr>
        <w:t>2</w:t>
      </w:r>
      <w:r w:rsidRPr="007B3B4B">
        <w:rPr>
          <w:sz w:val="26"/>
          <w:szCs w:val="26"/>
        </w:rPr>
        <w:t xml:space="preserve">, </w:t>
      </w:r>
      <w:r w:rsidR="005258C5" w:rsidRPr="007B3B4B">
        <w:rPr>
          <w:sz w:val="26"/>
          <w:szCs w:val="26"/>
        </w:rPr>
        <w:t>of which</w:t>
      </w:r>
      <w:r w:rsidR="005258C5" w:rsidRPr="006E599B">
        <w:rPr>
          <w:sz w:val="26"/>
          <w:szCs w:val="26"/>
        </w:rPr>
        <w:t xml:space="preserve"> </w:t>
      </w:r>
      <w:r w:rsidR="005258C5" w:rsidRPr="007B3B4B">
        <w:rPr>
          <w:sz w:val="26"/>
          <w:szCs w:val="26"/>
        </w:rPr>
        <w:t>14,866 are new housing units with an average area of ​​167.3 m</w:t>
      </w:r>
      <w:r w:rsidR="005258C5" w:rsidRPr="007B3B4B">
        <w:rPr>
          <w:sz w:val="26"/>
          <w:szCs w:val="26"/>
          <w:vertAlign w:val="superscript"/>
        </w:rPr>
        <w:t>2</w:t>
      </w:r>
      <w:r w:rsidR="005258C5" w:rsidRPr="007B3B4B">
        <w:rPr>
          <w:sz w:val="26"/>
          <w:szCs w:val="26"/>
        </w:rPr>
        <w:t>, and 4,131 are existing housing units with an average area of ​​163.1 m</w:t>
      </w:r>
      <w:r w:rsidR="005258C5" w:rsidRPr="007B3B4B">
        <w:rPr>
          <w:sz w:val="26"/>
          <w:szCs w:val="26"/>
          <w:vertAlign w:val="superscript"/>
        </w:rPr>
        <w:t>2</w:t>
      </w:r>
      <w:r w:rsidR="005258C5" w:rsidRPr="007B3B4B">
        <w:rPr>
          <w:sz w:val="26"/>
          <w:szCs w:val="26"/>
        </w:rPr>
        <w:t xml:space="preserve">, </w:t>
      </w:r>
      <w:r w:rsidR="00751247" w:rsidRPr="007B3B4B">
        <w:rPr>
          <w:sz w:val="26"/>
          <w:szCs w:val="26"/>
        </w:rPr>
        <w:t>according to the administrative records of building licenses in 2023.</w:t>
      </w:r>
    </w:p>
    <w:sectPr w:rsidR="0056567B" w:rsidRPr="007B3B4B" w:rsidSect="006E599B">
      <w:headerReference w:type="default" r:id="rId8"/>
      <w:footerReference w:type="default" r:id="rId9"/>
      <w:pgSz w:w="11906" w:h="16838"/>
      <w:pgMar w:top="851" w:right="851" w:bottom="851" w:left="851" w:header="0" w:footer="403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DE" w:rsidRDefault="008F79DE">
      <w:r>
        <w:separator/>
      </w:r>
    </w:p>
  </w:endnote>
  <w:endnote w:type="continuationSeparator" w:id="0">
    <w:p w:rsidR="008F79DE" w:rsidRDefault="008F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15" w:rsidRDefault="00B67D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10A">
      <w:rPr>
        <w:noProof/>
        <w:rtl/>
      </w:rPr>
      <w:t>1</w:t>
    </w:r>
    <w:r>
      <w:rPr>
        <w:noProof/>
      </w:rPr>
      <w:fldChar w:fldCharType="end"/>
    </w:r>
  </w:p>
  <w:p w:rsidR="00B67D15" w:rsidRDefault="00B6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DE" w:rsidRDefault="008F79DE">
      <w:r>
        <w:separator/>
      </w:r>
    </w:p>
  </w:footnote>
  <w:footnote w:type="continuationSeparator" w:id="0">
    <w:p w:rsidR="008F79DE" w:rsidRDefault="008F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85" w:rsidRPr="00897AA7" w:rsidRDefault="00897AA7" w:rsidP="00897AA7">
    <w:pPr>
      <w:pStyle w:val="Header"/>
      <w:tabs>
        <w:tab w:val="clear" w:pos="4153"/>
        <w:tab w:val="clear" w:pos="8306"/>
        <w:tab w:val="left" w:pos="4399"/>
      </w:tabs>
      <w:jc w:val="right"/>
      <w:rPr>
        <w:sz w:val="8"/>
        <w:szCs w:val="8"/>
      </w:rPr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73BE"/>
    <w:rsid w:val="000151C1"/>
    <w:rsid w:val="000163DA"/>
    <w:rsid w:val="00016DB9"/>
    <w:rsid w:val="00020572"/>
    <w:rsid w:val="00020C79"/>
    <w:rsid w:val="00023DE2"/>
    <w:rsid w:val="00030C13"/>
    <w:rsid w:val="000313DF"/>
    <w:rsid w:val="00032795"/>
    <w:rsid w:val="00034722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348"/>
    <w:rsid w:val="00056E7D"/>
    <w:rsid w:val="00070A5F"/>
    <w:rsid w:val="000764A8"/>
    <w:rsid w:val="00076B0B"/>
    <w:rsid w:val="00080497"/>
    <w:rsid w:val="00082753"/>
    <w:rsid w:val="0009543A"/>
    <w:rsid w:val="000B0B37"/>
    <w:rsid w:val="000B2734"/>
    <w:rsid w:val="000B331F"/>
    <w:rsid w:val="000B5BA4"/>
    <w:rsid w:val="000C144C"/>
    <w:rsid w:val="000C165A"/>
    <w:rsid w:val="000C75D4"/>
    <w:rsid w:val="000D022D"/>
    <w:rsid w:val="000D039E"/>
    <w:rsid w:val="000D39A9"/>
    <w:rsid w:val="000D495D"/>
    <w:rsid w:val="000D7803"/>
    <w:rsid w:val="000D7823"/>
    <w:rsid w:val="000E288B"/>
    <w:rsid w:val="000E5797"/>
    <w:rsid w:val="000F2C7F"/>
    <w:rsid w:val="000F4391"/>
    <w:rsid w:val="000F6447"/>
    <w:rsid w:val="001019B5"/>
    <w:rsid w:val="0010581E"/>
    <w:rsid w:val="001119BD"/>
    <w:rsid w:val="00114CC8"/>
    <w:rsid w:val="0011536F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53C3A"/>
    <w:rsid w:val="00160B4A"/>
    <w:rsid w:val="00162331"/>
    <w:rsid w:val="001672DA"/>
    <w:rsid w:val="0017506D"/>
    <w:rsid w:val="00175CB9"/>
    <w:rsid w:val="00177FF2"/>
    <w:rsid w:val="00182471"/>
    <w:rsid w:val="00182499"/>
    <w:rsid w:val="00184A00"/>
    <w:rsid w:val="00187ACA"/>
    <w:rsid w:val="00195DAC"/>
    <w:rsid w:val="00196F0F"/>
    <w:rsid w:val="00197B48"/>
    <w:rsid w:val="001A0C03"/>
    <w:rsid w:val="001A1290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2695"/>
    <w:rsid w:val="00202760"/>
    <w:rsid w:val="00204B4D"/>
    <w:rsid w:val="0020624F"/>
    <w:rsid w:val="0021253B"/>
    <w:rsid w:val="00226C8F"/>
    <w:rsid w:val="00226FE2"/>
    <w:rsid w:val="00230D71"/>
    <w:rsid w:val="00231796"/>
    <w:rsid w:val="00236C1B"/>
    <w:rsid w:val="00237CDA"/>
    <w:rsid w:val="00243761"/>
    <w:rsid w:val="00253712"/>
    <w:rsid w:val="00253E3B"/>
    <w:rsid w:val="002547F3"/>
    <w:rsid w:val="00256F41"/>
    <w:rsid w:val="00257695"/>
    <w:rsid w:val="002602B9"/>
    <w:rsid w:val="002603DA"/>
    <w:rsid w:val="00260E1B"/>
    <w:rsid w:val="002625FA"/>
    <w:rsid w:val="00267FBF"/>
    <w:rsid w:val="00273F5D"/>
    <w:rsid w:val="0028004F"/>
    <w:rsid w:val="00284976"/>
    <w:rsid w:val="00287E69"/>
    <w:rsid w:val="00291073"/>
    <w:rsid w:val="0029128C"/>
    <w:rsid w:val="00291D18"/>
    <w:rsid w:val="002924A1"/>
    <w:rsid w:val="002960EF"/>
    <w:rsid w:val="002A6DE9"/>
    <w:rsid w:val="002B0076"/>
    <w:rsid w:val="002B118B"/>
    <w:rsid w:val="002B21BE"/>
    <w:rsid w:val="002B21CA"/>
    <w:rsid w:val="002C09B4"/>
    <w:rsid w:val="002C114E"/>
    <w:rsid w:val="002C4D32"/>
    <w:rsid w:val="002C6813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133CB"/>
    <w:rsid w:val="00313E52"/>
    <w:rsid w:val="003216D0"/>
    <w:rsid w:val="00323D7A"/>
    <w:rsid w:val="003337C7"/>
    <w:rsid w:val="00337A77"/>
    <w:rsid w:val="00341B3A"/>
    <w:rsid w:val="0034210A"/>
    <w:rsid w:val="003479F2"/>
    <w:rsid w:val="00347F2B"/>
    <w:rsid w:val="003529F9"/>
    <w:rsid w:val="00353E78"/>
    <w:rsid w:val="003551B2"/>
    <w:rsid w:val="0035626F"/>
    <w:rsid w:val="00356A43"/>
    <w:rsid w:val="00363227"/>
    <w:rsid w:val="00365356"/>
    <w:rsid w:val="00370D7B"/>
    <w:rsid w:val="00373833"/>
    <w:rsid w:val="00374388"/>
    <w:rsid w:val="00375B61"/>
    <w:rsid w:val="00376245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1807"/>
    <w:rsid w:val="003C323D"/>
    <w:rsid w:val="003C5040"/>
    <w:rsid w:val="003C5F57"/>
    <w:rsid w:val="003C7E99"/>
    <w:rsid w:val="003D7794"/>
    <w:rsid w:val="003E0581"/>
    <w:rsid w:val="003F3077"/>
    <w:rsid w:val="00400C5B"/>
    <w:rsid w:val="00401345"/>
    <w:rsid w:val="004015A9"/>
    <w:rsid w:val="00403EF2"/>
    <w:rsid w:val="00404A6A"/>
    <w:rsid w:val="00405B7D"/>
    <w:rsid w:val="00406C22"/>
    <w:rsid w:val="00407541"/>
    <w:rsid w:val="00422A77"/>
    <w:rsid w:val="00422AEE"/>
    <w:rsid w:val="0042410D"/>
    <w:rsid w:val="004337F9"/>
    <w:rsid w:val="00433A7F"/>
    <w:rsid w:val="00440348"/>
    <w:rsid w:val="00441CDE"/>
    <w:rsid w:val="00444C89"/>
    <w:rsid w:val="004520CA"/>
    <w:rsid w:val="00452414"/>
    <w:rsid w:val="0046044B"/>
    <w:rsid w:val="00462153"/>
    <w:rsid w:val="004643E0"/>
    <w:rsid w:val="0046477F"/>
    <w:rsid w:val="0047047E"/>
    <w:rsid w:val="004735A5"/>
    <w:rsid w:val="0047578D"/>
    <w:rsid w:val="00480D6B"/>
    <w:rsid w:val="00482AC4"/>
    <w:rsid w:val="004831CC"/>
    <w:rsid w:val="00486110"/>
    <w:rsid w:val="00492D01"/>
    <w:rsid w:val="004936F3"/>
    <w:rsid w:val="004968B5"/>
    <w:rsid w:val="004A0549"/>
    <w:rsid w:val="004A12D7"/>
    <w:rsid w:val="004A1F6A"/>
    <w:rsid w:val="004A30E2"/>
    <w:rsid w:val="004A4FB4"/>
    <w:rsid w:val="004A76F5"/>
    <w:rsid w:val="004B0BBB"/>
    <w:rsid w:val="004B580F"/>
    <w:rsid w:val="004B6789"/>
    <w:rsid w:val="004C00D5"/>
    <w:rsid w:val="004C0D0A"/>
    <w:rsid w:val="004D0324"/>
    <w:rsid w:val="004D1609"/>
    <w:rsid w:val="004D417B"/>
    <w:rsid w:val="004D6AF1"/>
    <w:rsid w:val="004E2D1F"/>
    <w:rsid w:val="004E675A"/>
    <w:rsid w:val="004E6848"/>
    <w:rsid w:val="004F4A05"/>
    <w:rsid w:val="004F7160"/>
    <w:rsid w:val="00506034"/>
    <w:rsid w:val="00510EF5"/>
    <w:rsid w:val="00513DCC"/>
    <w:rsid w:val="00516634"/>
    <w:rsid w:val="005202DE"/>
    <w:rsid w:val="00520D18"/>
    <w:rsid w:val="005230D2"/>
    <w:rsid w:val="005258C5"/>
    <w:rsid w:val="00525B1A"/>
    <w:rsid w:val="00526EC7"/>
    <w:rsid w:val="0052785D"/>
    <w:rsid w:val="005314DE"/>
    <w:rsid w:val="005340E0"/>
    <w:rsid w:val="00536DFB"/>
    <w:rsid w:val="00536F80"/>
    <w:rsid w:val="005421F7"/>
    <w:rsid w:val="00551864"/>
    <w:rsid w:val="00552521"/>
    <w:rsid w:val="00553F26"/>
    <w:rsid w:val="00560204"/>
    <w:rsid w:val="005607EE"/>
    <w:rsid w:val="00561122"/>
    <w:rsid w:val="005622FF"/>
    <w:rsid w:val="0056567B"/>
    <w:rsid w:val="00565DA3"/>
    <w:rsid w:val="00566ACF"/>
    <w:rsid w:val="005742F2"/>
    <w:rsid w:val="005804DA"/>
    <w:rsid w:val="00583E2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C617C"/>
    <w:rsid w:val="005D00B6"/>
    <w:rsid w:val="005D2593"/>
    <w:rsid w:val="005D3BAF"/>
    <w:rsid w:val="005D73D7"/>
    <w:rsid w:val="005D76ED"/>
    <w:rsid w:val="005E03AE"/>
    <w:rsid w:val="005E7D59"/>
    <w:rsid w:val="005F1223"/>
    <w:rsid w:val="005F1C2E"/>
    <w:rsid w:val="005F7F8D"/>
    <w:rsid w:val="00606CD6"/>
    <w:rsid w:val="00610D6E"/>
    <w:rsid w:val="00611BA9"/>
    <w:rsid w:val="00612CC7"/>
    <w:rsid w:val="006135EA"/>
    <w:rsid w:val="00621306"/>
    <w:rsid w:val="006260E0"/>
    <w:rsid w:val="00630486"/>
    <w:rsid w:val="00631315"/>
    <w:rsid w:val="00635210"/>
    <w:rsid w:val="00640B2B"/>
    <w:rsid w:val="00641D78"/>
    <w:rsid w:val="00642E36"/>
    <w:rsid w:val="00643B50"/>
    <w:rsid w:val="0064473D"/>
    <w:rsid w:val="00646A8E"/>
    <w:rsid w:val="006478C4"/>
    <w:rsid w:val="00647FAE"/>
    <w:rsid w:val="00650419"/>
    <w:rsid w:val="0065107D"/>
    <w:rsid w:val="006531D5"/>
    <w:rsid w:val="00667427"/>
    <w:rsid w:val="00667515"/>
    <w:rsid w:val="006704CD"/>
    <w:rsid w:val="006766F4"/>
    <w:rsid w:val="0068020A"/>
    <w:rsid w:val="00681617"/>
    <w:rsid w:val="0068360D"/>
    <w:rsid w:val="006874DB"/>
    <w:rsid w:val="006906E7"/>
    <w:rsid w:val="00694385"/>
    <w:rsid w:val="00696CB2"/>
    <w:rsid w:val="006A0781"/>
    <w:rsid w:val="006A6095"/>
    <w:rsid w:val="006B2AA7"/>
    <w:rsid w:val="006B41B1"/>
    <w:rsid w:val="006B6012"/>
    <w:rsid w:val="006B6F77"/>
    <w:rsid w:val="006C0264"/>
    <w:rsid w:val="006C3CC9"/>
    <w:rsid w:val="006C5B09"/>
    <w:rsid w:val="006E599B"/>
    <w:rsid w:val="006F0009"/>
    <w:rsid w:val="006F5950"/>
    <w:rsid w:val="00700FD0"/>
    <w:rsid w:val="007021ED"/>
    <w:rsid w:val="007038C2"/>
    <w:rsid w:val="00704505"/>
    <w:rsid w:val="00711F9C"/>
    <w:rsid w:val="007129EF"/>
    <w:rsid w:val="007172C8"/>
    <w:rsid w:val="00720671"/>
    <w:rsid w:val="0072178E"/>
    <w:rsid w:val="007218D7"/>
    <w:rsid w:val="00721A7F"/>
    <w:rsid w:val="007263DE"/>
    <w:rsid w:val="0073046D"/>
    <w:rsid w:val="00730B9B"/>
    <w:rsid w:val="00732AD4"/>
    <w:rsid w:val="007379D0"/>
    <w:rsid w:val="0074025D"/>
    <w:rsid w:val="007428A2"/>
    <w:rsid w:val="00744B7E"/>
    <w:rsid w:val="0074751A"/>
    <w:rsid w:val="0075032D"/>
    <w:rsid w:val="007505BB"/>
    <w:rsid w:val="00751077"/>
    <w:rsid w:val="00751247"/>
    <w:rsid w:val="00755FD5"/>
    <w:rsid w:val="00756650"/>
    <w:rsid w:val="00774C9D"/>
    <w:rsid w:val="0077666A"/>
    <w:rsid w:val="00777AC6"/>
    <w:rsid w:val="00777F24"/>
    <w:rsid w:val="00780C2F"/>
    <w:rsid w:val="00780CDD"/>
    <w:rsid w:val="00782E7D"/>
    <w:rsid w:val="0078489B"/>
    <w:rsid w:val="00784DFC"/>
    <w:rsid w:val="00785266"/>
    <w:rsid w:val="00786648"/>
    <w:rsid w:val="00786B8F"/>
    <w:rsid w:val="007925DC"/>
    <w:rsid w:val="00792CA9"/>
    <w:rsid w:val="00795B7A"/>
    <w:rsid w:val="00796010"/>
    <w:rsid w:val="00797529"/>
    <w:rsid w:val="007976B9"/>
    <w:rsid w:val="007978E6"/>
    <w:rsid w:val="007A20F2"/>
    <w:rsid w:val="007B03F4"/>
    <w:rsid w:val="007B1A41"/>
    <w:rsid w:val="007B3B4B"/>
    <w:rsid w:val="007C5A08"/>
    <w:rsid w:val="007C7B9A"/>
    <w:rsid w:val="007D1287"/>
    <w:rsid w:val="007D2039"/>
    <w:rsid w:val="007D33E1"/>
    <w:rsid w:val="007D3654"/>
    <w:rsid w:val="007F04E7"/>
    <w:rsid w:val="007F1E2B"/>
    <w:rsid w:val="007F255B"/>
    <w:rsid w:val="007F34D5"/>
    <w:rsid w:val="007F4B9B"/>
    <w:rsid w:val="007F4E05"/>
    <w:rsid w:val="008005E4"/>
    <w:rsid w:val="008016AC"/>
    <w:rsid w:val="00801F29"/>
    <w:rsid w:val="008020F1"/>
    <w:rsid w:val="00813709"/>
    <w:rsid w:val="00813DB1"/>
    <w:rsid w:val="00814452"/>
    <w:rsid w:val="00823658"/>
    <w:rsid w:val="00825092"/>
    <w:rsid w:val="0082621B"/>
    <w:rsid w:val="00833BF7"/>
    <w:rsid w:val="00834343"/>
    <w:rsid w:val="00837CEF"/>
    <w:rsid w:val="008450FB"/>
    <w:rsid w:val="00845A9F"/>
    <w:rsid w:val="00847FED"/>
    <w:rsid w:val="00851804"/>
    <w:rsid w:val="00853CE4"/>
    <w:rsid w:val="00854F43"/>
    <w:rsid w:val="00863036"/>
    <w:rsid w:val="00863720"/>
    <w:rsid w:val="008643AE"/>
    <w:rsid w:val="0087475E"/>
    <w:rsid w:val="00891B38"/>
    <w:rsid w:val="00892C87"/>
    <w:rsid w:val="00893515"/>
    <w:rsid w:val="00896BF8"/>
    <w:rsid w:val="008973FE"/>
    <w:rsid w:val="00897AA7"/>
    <w:rsid w:val="008A2309"/>
    <w:rsid w:val="008A7399"/>
    <w:rsid w:val="008B022A"/>
    <w:rsid w:val="008B0374"/>
    <w:rsid w:val="008B0AD7"/>
    <w:rsid w:val="008B1864"/>
    <w:rsid w:val="008B5E16"/>
    <w:rsid w:val="008C64B6"/>
    <w:rsid w:val="008D532B"/>
    <w:rsid w:val="008D6A47"/>
    <w:rsid w:val="008E7EB7"/>
    <w:rsid w:val="008F03A6"/>
    <w:rsid w:val="008F603E"/>
    <w:rsid w:val="008F79DE"/>
    <w:rsid w:val="009019C7"/>
    <w:rsid w:val="00907A35"/>
    <w:rsid w:val="00910ABD"/>
    <w:rsid w:val="009207FA"/>
    <w:rsid w:val="009209F6"/>
    <w:rsid w:val="00933027"/>
    <w:rsid w:val="009338E7"/>
    <w:rsid w:val="009343BD"/>
    <w:rsid w:val="00935FD6"/>
    <w:rsid w:val="009373CB"/>
    <w:rsid w:val="009406FE"/>
    <w:rsid w:val="0094467D"/>
    <w:rsid w:val="00944E10"/>
    <w:rsid w:val="00947E42"/>
    <w:rsid w:val="00953CE6"/>
    <w:rsid w:val="00956381"/>
    <w:rsid w:val="0095694E"/>
    <w:rsid w:val="00961942"/>
    <w:rsid w:val="009628B5"/>
    <w:rsid w:val="00962A2F"/>
    <w:rsid w:val="00962F80"/>
    <w:rsid w:val="009677F4"/>
    <w:rsid w:val="009758F9"/>
    <w:rsid w:val="009820C8"/>
    <w:rsid w:val="009827BF"/>
    <w:rsid w:val="00986752"/>
    <w:rsid w:val="0098705A"/>
    <w:rsid w:val="00987D7E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2607"/>
    <w:rsid w:val="009B3B40"/>
    <w:rsid w:val="009B4622"/>
    <w:rsid w:val="009B4B57"/>
    <w:rsid w:val="009B52E1"/>
    <w:rsid w:val="009C2A08"/>
    <w:rsid w:val="009D0680"/>
    <w:rsid w:val="009D06AA"/>
    <w:rsid w:val="009D3B00"/>
    <w:rsid w:val="009D3EC3"/>
    <w:rsid w:val="009D55C5"/>
    <w:rsid w:val="009D732B"/>
    <w:rsid w:val="009D7D1D"/>
    <w:rsid w:val="009E1040"/>
    <w:rsid w:val="009E23B1"/>
    <w:rsid w:val="009E4918"/>
    <w:rsid w:val="009E6D70"/>
    <w:rsid w:val="009F2099"/>
    <w:rsid w:val="009F3075"/>
    <w:rsid w:val="00A01741"/>
    <w:rsid w:val="00A04086"/>
    <w:rsid w:val="00A058CE"/>
    <w:rsid w:val="00A07745"/>
    <w:rsid w:val="00A07A15"/>
    <w:rsid w:val="00A07A22"/>
    <w:rsid w:val="00A12F7F"/>
    <w:rsid w:val="00A15F8A"/>
    <w:rsid w:val="00A20C19"/>
    <w:rsid w:val="00A20CAC"/>
    <w:rsid w:val="00A30093"/>
    <w:rsid w:val="00A32AE5"/>
    <w:rsid w:val="00A3677C"/>
    <w:rsid w:val="00A41AC4"/>
    <w:rsid w:val="00A4700B"/>
    <w:rsid w:val="00A518DE"/>
    <w:rsid w:val="00A52CAE"/>
    <w:rsid w:val="00A6203A"/>
    <w:rsid w:val="00A707D4"/>
    <w:rsid w:val="00A71F7C"/>
    <w:rsid w:val="00A74822"/>
    <w:rsid w:val="00A74D80"/>
    <w:rsid w:val="00A808BD"/>
    <w:rsid w:val="00A80C8A"/>
    <w:rsid w:val="00A81FCC"/>
    <w:rsid w:val="00A83F68"/>
    <w:rsid w:val="00A8699E"/>
    <w:rsid w:val="00A87FA5"/>
    <w:rsid w:val="00A937FB"/>
    <w:rsid w:val="00A94114"/>
    <w:rsid w:val="00A9633C"/>
    <w:rsid w:val="00A97C88"/>
    <w:rsid w:val="00AA10AD"/>
    <w:rsid w:val="00AA11D1"/>
    <w:rsid w:val="00AA2573"/>
    <w:rsid w:val="00AB0765"/>
    <w:rsid w:val="00AB2851"/>
    <w:rsid w:val="00AB4905"/>
    <w:rsid w:val="00AB4B25"/>
    <w:rsid w:val="00AB547D"/>
    <w:rsid w:val="00AC0C16"/>
    <w:rsid w:val="00AC22E4"/>
    <w:rsid w:val="00AC272C"/>
    <w:rsid w:val="00AC3619"/>
    <w:rsid w:val="00AC36E6"/>
    <w:rsid w:val="00AC39F1"/>
    <w:rsid w:val="00AD7142"/>
    <w:rsid w:val="00AD75AA"/>
    <w:rsid w:val="00AD77DD"/>
    <w:rsid w:val="00AD786E"/>
    <w:rsid w:val="00AE1C18"/>
    <w:rsid w:val="00AE6A0B"/>
    <w:rsid w:val="00AF6273"/>
    <w:rsid w:val="00B124D0"/>
    <w:rsid w:val="00B14ED9"/>
    <w:rsid w:val="00B16084"/>
    <w:rsid w:val="00B16912"/>
    <w:rsid w:val="00B174F0"/>
    <w:rsid w:val="00B211CE"/>
    <w:rsid w:val="00B21C1E"/>
    <w:rsid w:val="00B2629C"/>
    <w:rsid w:val="00B3008C"/>
    <w:rsid w:val="00B307A0"/>
    <w:rsid w:val="00B3389A"/>
    <w:rsid w:val="00B4056E"/>
    <w:rsid w:val="00B40FDB"/>
    <w:rsid w:val="00B41703"/>
    <w:rsid w:val="00B44515"/>
    <w:rsid w:val="00B445AE"/>
    <w:rsid w:val="00B52A61"/>
    <w:rsid w:val="00B56724"/>
    <w:rsid w:val="00B63903"/>
    <w:rsid w:val="00B64F97"/>
    <w:rsid w:val="00B653E6"/>
    <w:rsid w:val="00B6558A"/>
    <w:rsid w:val="00B65998"/>
    <w:rsid w:val="00B67D15"/>
    <w:rsid w:val="00B72189"/>
    <w:rsid w:val="00B803BD"/>
    <w:rsid w:val="00B807B0"/>
    <w:rsid w:val="00B81378"/>
    <w:rsid w:val="00B8216B"/>
    <w:rsid w:val="00B823DC"/>
    <w:rsid w:val="00B85638"/>
    <w:rsid w:val="00B85A0A"/>
    <w:rsid w:val="00B90F94"/>
    <w:rsid w:val="00B9136A"/>
    <w:rsid w:val="00B928DB"/>
    <w:rsid w:val="00B92D1F"/>
    <w:rsid w:val="00B956AE"/>
    <w:rsid w:val="00B95768"/>
    <w:rsid w:val="00BA0C72"/>
    <w:rsid w:val="00BB0952"/>
    <w:rsid w:val="00BB2A6F"/>
    <w:rsid w:val="00BB5057"/>
    <w:rsid w:val="00BC2F03"/>
    <w:rsid w:val="00BC41A0"/>
    <w:rsid w:val="00BC707A"/>
    <w:rsid w:val="00BD7F54"/>
    <w:rsid w:val="00BE077A"/>
    <w:rsid w:val="00BE0BD9"/>
    <w:rsid w:val="00BE274B"/>
    <w:rsid w:val="00BE6311"/>
    <w:rsid w:val="00BF20C5"/>
    <w:rsid w:val="00BF2689"/>
    <w:rsid w:val="00BF2CDC"/>
    <w:rsid w:val="00BF4F6B"/>
    <w:rsid w:val="00C013D5"/>
    <w:rsid w:val="00C064CC"/>
    <w:rsid w:val="00C06820"/>
    <w:rsid w:val="00C0733E"/>
    <w:rsid w:val="00C24261"/>
    <w:rsid w:val="00C24288"/>
    <w:rsid w:val="00C24C85"/>
    <w:rsid w:val="00C2707F"/>
    <w:rsid w:val="00C27848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41AE"/>
    <w:rsid w:val="00C967D7"/>
    <w:rsid w:val="00C96A00"/>
    <w:rsid w:val="00CA65AB"/>
    <w:rsid w:val="00CA6AE4"/>
    <w:rsid w:val="00CB1420"/>
    <w:rsid w:val="00CB32F3"/>
    <w:rsid w:val="00CB6C13"/>
    <w:rsid w:val="00CC631B"/>
    <w:rsid w:val="00CD074D"/>
    <w:rsid w:val="00CD6C49"/>
    <w:rsid w:val="00CE0118"/>
    <w:rsid w:val="00CE0249"/>
    <w:rsid w:val="00CE0C89"/>
    <w:rsid w:val="00CF01F3"/>
    <w:rsid w:val="00CF15D3"/>
    <w:rsid w:val="00CF36EE"/>
    <w:rsid w:val="00CF7218"/>
    <w:rsid w:val="00D01B7D"/>
    <w:rsid w:val="00D02BFD"/>
    <w:rsid w:val="00D05BC7"/>
    <w:rsid w:val="00D100EF"/>
    <w:rsid w:val="00D125DA"/>
    <w:rsid w:val="00D13E7D"/>
    <w:rsid w:val="00D172ED"/>
    <w:rsid w:val="00D20D98"/>
    <w:rsid w:val="00D23462"/>
    <w:rsid w:val="00D23D24"/>
    <w:rsid w:val="00D245FA"/>
    <w:rsid w:val="00D261E5"/>
    <w:rsid w:val="00D26636"/>
    <w:rsid w:val="00D3095B"/>
    <w:rsid w:val="00D36FC3"/>
    <w:rsid w:val="00D36FCA"/>
    <w:rsid w:val="00D41653"/>
    <w:rsid w:val="00D41892"/>
    <w:rsid w:val="00D41F1B"/>
    <w:rsid w:val="00D438FA"/>
    <w:rsid w:val="00D50387"/>
    <w:rsid w:val="00D62490"/>
    <w:rsid w:val="00D625A5"/>
    <w:rsid w:val="00D642DE"/>
    <w:rsid w:val="00D65A05"/>
    <w:rsid w:val="00D666AA"/>
    <w:rsid w:val="00D70354"/>
    <w:rsid w:val="00D74236"/>
    <w:rsid w:val="00D7516A"/>
    <w:rsid w:val="00D80AD3"/>
    <w:rsid w:val="00D80C7D"/>
    <w:rsid w:val="00D84C2D"/>
    <w:rsid w:val="00D85188"/>
    <w:rsid w:val="00D85DCB"/>
    <w:rsid w:val="00D86248"/>
    <w:rsid w:val="00D8653D"/>
    <w:rsid w:val="00DA3CBE"/>
    <w:rsid w:val="00DA5794"/>
    <w:rsid w:val="00DB419C"/>
    <w:rsid w:val="00DC166D"/>
    <w:rsid w:val="00DC3511"/>
    <w:rsid w:val="00DC6933"/>
    <w:rsid w:val="00DD1C5E"/>
    <w:rsid w:val="00DD5B05"/>
    <w:rsid w:val="00DE178E"/>
    <w:rsid w:val="00DE1CEB"/>
    <w:rsid w:val="00DE2A73"/>
    <w:rsid w:val="00DE3096"/>
    <w:rsid w:val="00DE7D3F"/>
    <w:rsid w:val="00DF3D51"/>
    <w:rsid w:val="00DF3FF4"/>
    <w:rsid w:val="00DF4A99"/>
    <w:rsid w:val="00DF73E2"/>
    <w:rsid w:val="00E0060C"/>
    <w:rsid w:val="00E026CB"/>
    <w:rsid w:val="00E0483D"/>
    <w:rsid w:val="00E0508A"/>
    <w:rsid w:val="00E05A55"/>
    <w:rsid w:val="00E10680"/>
    <w:rsid w:val="00E1271D"/>
    <w:rsid w:val="00E12F03"/>
    <w:rsid w:val="00E13F91"/>
    <w:rsid w:val="00E14CF4"/>
    <w:rsid w:val="00E17435"/>
    <w:rsid w:val="00E17F88"/>
    <w:rsid w:val="00E20884"/>
    <w:rsid w:val="00E22EFE"/>
    <w:rsid w:val="00E30044"/>
    <w:rsid w:val="00E3440E"/>
    <w:rsid w:val="00E35EAB"/>
    <w:rsid w:val="00E36BC0"/>
    <w:rsid w:val="00E36E54"/>
    <w:rsid w:val="00E4140B"/>
    <w:rsid w:val="00E46993"/>
    <w:rsid w:val="00E51619"/>
    <w:rsid w:val="00E51943"/>
    <w:rsid w:val="00E57588"/>
    <w:rsid w:val="00E60AD7"/>
    <w:rsid w:val="00E60EB3"/>
    <w:rsid w:val="00E620DD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AD0"/>
    <w:rsid w:val="00EA1E77"/>
    <w:rsid w:val="00EA5FD7"/>
    <w:rsid w:val="00EA6AFF"/>
    <w:rsid w:val="00EA78FD"/>
    <w:rsid w:val="00EB1374"/>
    <w:rsid w:val="00EB18B0"/>
    <w:rsid w:val="00EB423A"/>
    <w:rsid w:val="00EB516A"/>
    <w:rsid w:val="00EC2E67"/>
    <w:rsid w:val="00EC43B4"/>
    <w:rsid w:val="00EC459A"/>
    <w:rsid w:val="00EC610B"/>
    <w:rsid w:val="00EC63FE"/>
    <w:rsid w:val="00EC7822"/>
    <w:rsid w:val="00EC7957"/>
    <w:rsid w:val="00ED224B"/>
    <w:rsid w:val="00ED580C"/>
    <w:rsid w:val="00ED5C7B"/>
    <w:rsid w:val="00ED66C1"/>
    <w:rsid w:val="00ED69B8"/>
    <w:rsid w:val="00ED7CEB"/>
    <w:rsid w:val="00EE2790"/>
    <w:rsid w:val="00EF1853"/>
    <w:rsid w:val="00EF58AE"/>
    <w:rsid w:val="00F0458C"/>
    <w:rsid w:val="00F046CB"/>
    <w:rsid w:val="00F066E3"/>
    <w:rsid w:val="00F1019D"/>
    <w:rsid w:val="00F226BB"/>
    <w:rsid w:val="00F2310E"/>
    <w:rsid w:val="00F23457"/>
    <w:rsid w:val="00F26236"/>
    <w:rsid w:val="00F31456"/>
    <w:rsid w:val="00F31F7E"/>
    <w:rsid w:val="00F33CAE"/>
    <w:rsid w:val="00F375E0"/>
    <w:rsid w:val="00F4563C"/>
    <w:rsid w:val="00F50468"/>
    <w:rsid w:val="00F522C6"/>
    <w:rsid w:val="00F53D38"/>
    <w:rsid w:val="00F57EFB"/>
    <w:rsid w:val="00F6352E"/>
    <w:rsid w:val="00F65495"/>
    <w:rsid w:val="00F72FD7"/>
    <w:rsid w:val="00F734FE"/>
    <w:rsid w:val="00F754E1"/>
    <w:rsid w:val="00F812EA"/>
    <w:rsid w:val="00F81E78"/>
    <w:rsid w:val="00F879C2"/>
    <w:rsid w:val="00F87CE3"/>
    <w:rsid w:val="00F911C5"/>
    <w:rsid w:val="00F94F2D"/>
    <w:rsid w:val="00F9771A"/>
    <w:rsid w:val="00FA3E37"/>
    <w:rsid w:val="00FA4EED"/>
    <w:rsid w:val="00FB0039"/>
    <w:rsid w:val="00FB0886"/>
    <w:rsid w:val="00FB2AF6"/>
    <w:rsid w:val="00FB6BB9"/>
    <w:rsid w:val="00FC13D6"/>
    <w:rsid w:val="00FC25A3"/>
    <w:rsid w:val="00FC2EB3"/>
    <w:rsid w:val="00FC3803"/>
    <w:rsid w:val="00FC6B54"/>
    <w:rsid w:val="00FD016C"/>
    <w:rsid w:val="00FD0969"/>
    <w:rsid w:val="00FD0AF7"/>
    <w:rsid w:val="00FD16E7"/>
    <w:rsid w:val="00FD19BF"/>
    <w:rsid w:val="00FD2B21"/>
    <w:rsid w:val="00FD3943"/>
    <w:rsid w:val="00FD5381"/>
    <w:rsid w:val="00FD5515"/>
    <w:rsid w:val="00FD5C3C"/>
    <w:rsid w:val="00FD7AD3"/>
    <w:rsid w:val="00FD7EA5"/>
    <w:rsid w:val="00FE092A"/>
    <w:rsid w:val="00FE70BB"/>
    <w:rsid w:val="00FE7AA5"/>
    <w:rsid w:val="00FF06FD"/>
    <w:rsid w:val="00FF306C"/>
    <w:rsid w:val="00FF311E"/>
    <w:rsid w:val="00FF32D3"/>
    <w:rsid w:val="00FF3F4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240D8-4182-40C4-A5D2-3C41BC8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FooterChar">
    <w:name w:val="Footer Char"/>
    <w:link w:val="Footer"/>
    <w:uiPriority w:val="99"/>
    <w:rsid w:val="00B67D15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202695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9783506361068"/>
          <c:y val="0.14184824761106338"/>
          <c:w val="0.87145493755955661"/>
          <c:h val="0.604640071887730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4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7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Sheet1!$A$1:$D$1</c:f>
              <c:strCache>
                <c:ptCount val="4"/>
                <c:pt idx="0">
                  <c:v>
Villa </c:v>
                </c:pt>
                <c:pt idx="1">
                  <c:v>
House</c:v>
                </c:pt>
                <c:pt idx="2">
                  <c:v>
Apartment</c:v>
                </c:pt>
                <c:pt idx="3">
                  <c:v>
Other*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0.9</c:v>
                </c:pt>
                <c:pt idx="1">
                  <c:v>53.7</c:v>
                </c:pt>
                <c:pt idx="2" formatCode="0.0">
                  <c:v>44.8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A-4EC6-ADB7-F3F244C33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762168"/>
        <c:axId val="1"/>
      </c:barChart>
      <c:catAx>
        <c:axId val="23376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8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E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3762168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49F9-1E8E-457B-972F-EAAE16D1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subject/>
  <dc:creator>husamkh</dc:creator>
  <cp:keywords/>
  <cp:lastModifiedBy>Mohammed Hodali</cp:lastModifiedBy>
  <cp:revision>2</cp:revision>
  <cp:lastPrinted>2024-10-01T09:07:00Z</cp:lastPrinted>
  <dcterms:created xsi:type="dcterms:W3CDTF">2024-10-07T06:00:00Z</dcterms:created>
  <dcterms:modified xsi:type="dcterms:W3CDTF">2024-10-07T06:00:00Z</dcterms:modified>
</cp:coreProperties>
</file>