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0C" w:rsidRPr="009F3B2E" w:rsidRDefault="0093530C" w:rsidP="009F3B2E">
      <w:pPr>
        <w:bidi w:val="0"/>
        <w:mirrorIndents/>
        <w:jc w:val="center"/>
        <w:rPr>
          <w:b/>
          <w:bCs/>
          <w:color w:val="0E101A"/>
          <w:sz w:val="28"/>
          <w:szCs w:val="28"/>
          <w:rtl/>
        </w:rPr>
      </w:pPr>
      <w:bookmarkStart w:id="0" w:name="_GoBack"/>
      <w:bookmarkEnd w:id="0"/>
      <w:r w:rsidRPr="009F3B2E">
        <w:rPr>
          <w:b/>
          <w:bCs/>
          <w:color w:val="0E101A"/>
          <w:sz w:val="28"/>
          <w:szCs w:val="28"/>
        </w:rPr>
        <w:t xml:space="preserve">The Palestinian Central Bureau of Statistics (PCBS) and the Palestinian Meteorological Directorate (PMD) jointly issued a press release </w:t>
      </w:r>
      <w:r w:rsidR="00EC28CC" w:rsidRPr="009F3B2E">
        <w:rPr>
          <w:b/>
          <w:bCs/>
          <w:color w:val="0E101A"/>
          <w:sz w:val="28"/>
          <w:szCs w:val="28"/>
        </w:rPr>
        <w:t>on</w:t>
      </w:r>
      <w:r w:rsidRPr="009F3B2E">
        <w:rPr>
          <w:b/>
          <w:bCs/>
          <w:color w:val="0E101A"/>
          <w:sz w:val="28"/>
          <w:szCs w:val="28"/>
        </w:rPr>
        <w:t xml:space="preserve"> World Meteorological Day (WMD) under the theme "Closing the early warning gap together."</w:t>
      </w:r>
    </w:p>
    <w:p w:rsidR="00EC28CC" w:rsidRPr="00A74052" w:rsidRDefault="00EC28CC" w:rsidP="00EC28CC">
      <w:pPr>
        <w:bidi w:val="0"/>
        <w:mirrorIndents/>
        <w:jc w:val="both"/>
        <w:rPr>
          <w:b/>
          <w:bCs/>
          <w:color w:val="0E101A"/>
          <w:sz w:val="26"/>
          <w:szCs w:val="26"/>
        </w:rPr>
      </w:pPr>
    </w:p>
    <w:p w:rsidR="0093530C" w:rsidRPr="0093530C" w:rsidRDefault="0093530C" w:rsidP="004E41A8">
      <w:pPr>
        <w:bidi w:val="0"/>
        <w:mirrorIndents/>
        <w:jc w:val="both"/>
        <w:outlineLvl w:val="1"/>
        <w:rPr>
          <w:color w:val="0E101A"/>
        </w:rPr>
      </w:pPr>
      <w:bookmarkStart w:id="1" w:name="OLE_LINK1"/>
      <w:bookmarkStart w:id="2" w:name="OLE_LINK2"/>
      <w:r w:rsidRPr="0093530C">
        <w:rPr>
          <w:color w:val="0E101A"/>
        </w:rPr>
        <w:t>Every year on March 23</w:t>
      </w:r>
      <w:r w:rsidRPr="00D61052">
        <w:rPr>
          <w:color w:val="0E101A"/>
          <w:vertAlign w:val="superscript"/>
        </w:rPr>
        <w:t>rd</w:t>
      </w:r>
      <w:r w:rsidRPr="0093530C">
        <w:rPr>
          <w:color w:val="0E101A"/>
        </w:rPr>
        <w:t>, the World Meteorological Organization (WMO) celebrates World Meteorological Day. This year's theme is "Closing the early warning gap together".</w:t>
      </w:r>
    </w:p>
    <w:p w:rsidR="0093530C" w:rsidRPr="0093530C" w:rsidRDefault="0093530C" w:rsidP="004E41A8">
      <w:pPr>
        <w:bidi w:val="0"/>
        <w:mirrorIndents/>
        <w:jc w:val="both"/>
        <w:rPr>
          <w:color w:val="0E101A"/>
        </w:rPr>
      </w:pPr>
    </w:p>
    <w:p w:rsidR="0093530C" w:rsidRDefault="0093530C" w:rsidP="00757C31">
      <w:pPr>
        <w:bidi w:val="0"/>
        <w:mirrorIndents/>
        <w:jc w:val="both"/>
        <w:rPr>
          <w:color w:val="0E101A"/>
          <w:rtl/>
        </w:rPr>
      </w:pPr>
      <w:r w:rsidRPr="00927FE9">
        <w:rPr>
          <w:color w:val="0E101A"/>
        </w:rPr>
        <w:t>The following are the most important features of the climate that prevailed during 202</w:t>
      </w:r>
      <w:r>
        <w:rPr>
          <w:color w:val="0E101A"/>
        </w:rPr>
        <w:t>4</w:t>
      </w:r>
      <w:r w:rsidRPr="00927FE9">
        <w:rPr>
          <w:color w:val="0E101A"/>
        </w:rPr>
        <w:t>:</w:t>
      </w:r>
    </w:p>
    <w:p w:rsidR="00E1111C" w:rsidRDefault="00EC28CC" w:rsidP="001C1066">
      <w:pPr>
        <w:pStyle w:val="NormalWeb"/>
      </w:pPr>
      <w:r>
        <w:rPr>
          <w:rStyle w:val="Strong"/>
        </w:rPr>
        <w:t>Rain monitoring</w:t>
      </w:r>
      <w:r w:rsidR="00D0116A">
        <w:rPr>
          <w:rStyle w:val="Strong"/>
        </w:rPr>
        <w:t xml:space="preserve"> Station in </w:t>
      </w:r>
      <w:r>
        <w:rPr>
          <w:rStyle w:val="Strong"/>
        </w:rPr>
        <w:t>Gaza</w:t>
      </w:r>
      <w:r>
        <w:rPr>
          <w:rStyle w:val="Strong"/>
          <w:rFonts w:hint="cs"/>
          <w:rtl/>
        </w:rPr>
        <w:t xml:space="preserve"> </w:t>
      </w:r>
      <w:r>
        <w:rPr>
          <w:rStyle w:val="Strong"/>
          <w:rFonts w:hint="cs"/>
        </w:rPr>
        <w:t>Strip</w:t>
      </w:r>
      <w:r w:rsidR="00D0116A">
        <w:rPr>
          <w:rStyle w:val="Strong"/>
        </w:rPr>
        <w:t xml:space="preserve"> </w:t>
      </w:r>
      <w:r w:rsidR="001C1066">
        <w:rPr>
          <w:rStyle w:val="Strong"/>
        </w:rPr>
        <w:t xml:space="preserve">is </w:t>
      </w:r>
      <w:r w:rsidR="00D0116A">
        <w:rPr>
          <w:rStyle w:val="Strong"/>
        </w:rPr>
        <w:t xml:space="preserve">Out of service after being destroyed during </w:t>
      </w:r>
      <w:r w:rsidR="001C1066">
        <w:rPr>
          <w:rStyle w:val="Strong"/>
        </w:rPr>
        <w:t xml:space="preserve">the </w:t>
      </w:r>
      <w:r w:rsidR="00D0116A">
        <w:rPr>
          <w:rStyle w:val="Strong"/>
        </w:rPr>
        <w:t>Israeli aggression</w:t>
      </w:r>
    </w:p>
    <w:p w:rsidR="00382C4E" w:rsidRDefault="00382C4E" w:rsidP="001C1066">
      <w:pPr>
        <w:pStyle w:val="NormalWeb"/>
        <w:jc w:val="both"/>
      </w:pPr>
      <w:r>
        <w:t xml:space="preserve">Gaza Strip has </w:t>
      </w:r>
      <w:r w:rsidR="00641B52">
        <w:t>(</w:t>
      </w:r>
      <w:r>
        <w:t>12</w:t>
      </w:r>
      <w:r w:rsidR="00641B52">
        <w:t>)</w:t>
      </w:r>
      <w:r>
        <w:t xml:space="preserve"> rain monitoring stations distributed from </w:t>
      </w:r>
      <w:r w:rsidR="001C1066">
        <w:t xml:space="preserve">the </w:t>
      </w:r>
      <w:r>
        <w:t xml:space="preserve">north to </w:t>
      </w:r>
      <w:r w:rsidR="001C1066">
        <w:t xml:space="preserve">the </w:t>
      </w:r>
      <w:r>
        <w:t>south. However, with the outbreak of the Israeli aggression on October 7</w:t>
      </w:r>
      <w:r w:rsidR="00641B52" w:rsidRPr="00D61052">
        <w:rPr>
          <w:vertAlign w:val="superscript"/>
        </w:rPr>
        <w:t>th</w:t>
      </w:r>
      <w:r>
        <w:t xml:space="preserve">, 2023, all these stations </w:t>
      </w:r>
      <w:r w:rsidR="00EC28CC">
        <w:t>were</w:t>
      </w:r>
      <w:r>
        <w:t xml:space="preserve"> destroyed, resulting in the total loss of their data. Consequently, they will not be included in this report due to the unavailability of any recorded data.</w:t>
      </w:r>
    </w:p>
    <w:p w:rsidR="00382C4E" w:rsidRPr="00E1111C" w:rsidRDefault="00E1111C" w:rsidP="00382C4E">
      <w:pPr>
        <w:bidi w:val="0"/>
        <w:mirrorIndents/>
        <w:jc w:val="both"/>
        <w:rPr>
          <w:rStyle w:val="Strong"/>
          <w:lang w:eastAsia="en-US"/>
        </w:rPr>
      </w:pPr>
      <w:r w:rsidRPr="00E1111C">
        <w:rPr>
          <w:rStyle w:val="Strong"/>
          <w:lang w:eastAsia="en-US"/>
        </w:rPr>
        <w:t>Palestine and Early Warning</w:t>
      </w:r>
    </w:p>
    <w:p w:rsidR="00EC28CC" w:rsidRDefault="00E1111C" w:rsidP="00880C10">
      <w:pPr>
        <w:autoSpaceDE w:val="0"/>
        <w:autoSpaceDN w:val="0"/>
        <w:bidi w:val="0"/>
        <w:adjustRightInd w:val="0"/>
        <w:jc w:val="lowKashida"/>
        <w:rPr>
          <w:lang w:eastAsia="en-US"/>
        </w:rPr>
      </w:pPr>
      <w:r w:rsidRPr="00E1111C">
        <w:rPr>
          <w:lang w:eastAsia="en-US"/>
        </w:rPr>
        <w:t xml:space="preserve">Early warning systems have become increasingly important to address unusual weather conditions that pose a risk to lives and property. Between 2021 and 2022, the Meteorology Department, in cooperation with several partners, implemented projects to enhance the technical and human infrastructure in the areas of early warning to serve various sectors, as </w:t>
      </w:r>
      <w:r w:rsidR="00641B52">
        <w:rPr>
          <w:lang w:eastAsia="en-US"/>
        </w:rPr>
        <w:t>(</w:t>
      </w:r>
      <w:r w:rsidRPr="00E1111C">
        <w:rPr>
          <w:lang w:eastAsia="en-US"/>
        </w:rPr>
        <w:t>11</w:t>
      </w:r>
      <w:r w:rsidR="00641B52">
        <w:rPr>
          <w:lang w:eastAsia="en-US"/>
        </w:rPr>
        <w:t>)</w:t>
      </w:r>
      <w:r w:rsidRPr="00E1111C">
        <w:rPr>
          <w:lang w:eastAsia="en-US"/>
        </w:rPr>
        <w:t xml:space="preserve"> meteorological stations were installed, including two flood measurement stations, in addition to a forecast system that links the weather forecast center to international data sources and transmits warnings directly to the concerned authorities and citizens.</w:t>
      </w:r>
    </w:p>
    <w:p w:rsidR="00E1111C" w:rsidRDefault="00E1111C" w:rsidP="003E0E1D">
      <w:pPr>
        <w:autoSpaceDE w:val="0"/>
        <w:autoSpaceDN w:val="0"/>
        <w:bidi w:val="0"/>
        <w:adjustRightInd w:val="0"/>
        <w:jc w:val="lowKashida"/>
        <w:rPr>
          <w:lang w:eastAsia="en-US"/>
        </w:rPr>
      </w:pPr>
      <w:r w:rsidRPr="00E1111C">
        <w:rPr>
          <w:lang w:eastAsia="en-US"/>
        </w:rPr>
        <w:t xml:space="preserve">Currently, </w:t>
      </w:r>
      <w:r w:rsidR="003E0E1D">
        <w:rPr>
          <w:lang w:eastAsia="en-US"/>
        </w:rPr>
        <w:t>there is a</w:t>
      </w:r>
      <w:r w:rsidR="003E0E1D" w:rsidRPr="00E1111C">
        <w:rPr>
          <w:lang w:eastAsia="en-US"/>
        </w:rPr>
        <w:t xml:space="preserve"> </w:t>
      </w:r>
      <w:r w:rsidRPr="00E1111C">
        <w:rPr>
          <w:lang w:eastAsia="en-US"/>
        </w:rPr>
        <w:t xml:space="preserve">project being implemented to enhance agricultural adaptation to climate change through the installation of </w:t>
      </w:r>
      <w:r w:rsidR="00641B52">
        <w:rPr>
          <w:lang w:eastAsia="en-US"/>
        </w:rPr>
        <w:t>(</w:t>
      </w:r>
      <w:r w:rsidRPr="00E1111C">
        <w:rPr>
          <w:lang w:eastAsia="en-US"/>
        </w:rPr>
        <w:t>9</w:t>
      </w:r>
      <w:r w:rsidR="00641B52">
        <w:rPr>
          <w:lang w:eastAsia="en-US"/>
        </w:rPr>
        <w:t>)</w:t>
      </w:r>
      <w:r w:rsidRPr="00E1111C">
        <w:rPr>
          <w:lang w:eastAsia="en-US"/>
        </w:rPr>
        <w:t xml:space="preserve"> new monitoring stations and an early warning system, enabling farmers to be advised on weather hazards and their impact on crops.</w:t>
      </w:r>
    </w:p>
    <w:p w:rsidR="00E1111C" w:rsidRPr="00E1111C" w:rsidRDefault="00E1111C" w:rsidP="00E1111C">
      <w:pPr>
        <w:autoSpaceDE w:val="0"/>
        <w:autoSpaceDN w:val="0"/>
        <w:bidi w:val="0"/>
        <w:adjustRightInd w:val="0"/>
        <w:jc w:val="lowKashida"/>
        <w:rPr>
          <w:lang w:eastAsia="en-US"/>
        </w:rPr>
      </w:pPr>
    </w:p>
    <w:bookmarkEnd w:id="1"/>
    <w:bookmarkEnd w:id="2"/>
    <w:p w:rsidR="00A96138" w:rsidRDefault="0093530C" w:rsidP="00E1111C">
      <w:pPr>
        <w:mirrorIndents/>
        <w:jc w:val="right"/>
        <w:rPr>
          <w:color w:val="0E101A"/>
        </w:rPr>
      </w:pPr>
      <w:r>
        <w:rPr>
          <w:b/>
          <w:bCs/>
          <w:color w:val="0E101A"/>
        </w:rPr>
        <w:t>Scarcity of rainfall</w:t>
      </w:r>
      <w:r w:rsidRPr="00927FE9">
        <w:rPr>
          <w:b/>
          <w:bCs/>
          <w:color w:val="0E101A"/>
        </w:rPr>
        <w:t xml:space="preserve"> during the rainy season</w:t>
      </w:r>
    </w:p>
    <w:p w:rsidR="0093530C" w:rsidRDefault="0093530C" w:rsidP="006B0BA6">
      <w:pPr>
        <w:bidi w:val="0"/>
        <w:mirrorIndents/>
        <w:jc w:val="both"/>
        <w:rPr>
          <w:color w:val="0E101A"/>
        </w:rPr>
      </w:pPr>
      <w:r w:rsidRPr="00927FE9">
        <w:rPr>
          <w:color w:val="0E101A"/>
        </w:rPr>
        <w:t>Based on the PMD data, the recent rainy season (202</w:t>
      </w:r>
      <w:r>
        <w:rPr>
          <w:color w:val="0E101A"/>
        </w:rPr>
        <w:t>4</w:t>
      </w:r>
      <w:r w:rsidRPr="00927FE9">
        <w:rPr>
          <w:color w:val="0E101A"/>
        </w:rPr>
        <w:t>/202</w:t>
      </w:r>
      <w:r>
        <w:rPr>
          <w:color w:val="0E101A"/>
        </w:rPr>
        <w:t>5</w:t>
      </w:r>
      <w:r w:rsidRPr="00927FE9">
        <w:rPr>
          <w:color w:val="0E101A"/>
        </w:rPr>
        <w:t>)</w:t>
      </w:r>
      <w:r>
        <w:rPr>
          <w:color w:val="0E101A"/>
        </w:rPr>
        <w:t xml:space="preserve"> until </w:t>
      </w:r>
      <w:r w:rsidR="006B0BA6">
        <w:rPr>
          <w:color w:val="0E101A"/>
        </w:rPr>
        <w:t>02</w:t>
      </w:r>
      <w:r>
        <w:rPr>
          <w:color w:val="0E101A"/>
        </w:rPr>
        <w:t>/</w:t>
      </w:r>
      <w:r w:rsidR="006B0BA6">
        <w:rPr>
          <w:color w:val="0E101A"/>
        </w:rPr>
        <w:t>03</w:t>
      </w:r>
      <w:r>
        <w:rPr>
          <w:color w:val="0E101A"/>
        </w:rPr>
        <w:t>/2025</w:t>
      </w:r>
      <w:r w:rsidRPr="00927FE9">
        <w:rPr>
          <w:color w:val="0E101A"/>
        </w:rPr>
        <w:t xml:space="preserve"> in the West Bank </w:t>
      </w:r>
      <w:r>
        <w:t>has been marked by low and scarce precipitate</w:t>
      </w:r>
      <w:r>
        <w:rPr>
          <w:color w:val="0E101A"/>
        </w:rPr>
        <w:t>, due to the</w:t>
      </w:r>
      <w:r>
        <w:rPr>
          <w:rFonts w:hint="cs"/>
          <w:color w:val="0E101A"/>
          <w:rtl/>
        </w:rPr>
        <w:t xml:space="preserve"> </w:t>
      </w:r>
      <w:r>
        <w:rPr>
          <w:color w:val="0E101A"/>
        </w:rPr>
        <w:t xml:space="preserve">increasing of temperature and rain rarity. </w:t>
      </w:r>
      <w:r w:rsidRPr="00927FE9">
        <w:rPr>
          <w:color w:val="0E101A"/>
        </w:rPr>
        <w:t xml:space="preserve">The northern and central parts of the West Bank received more rainfall than the southern areas, which were affected by weather depressions that were mostly concentrated in the northern and northwestern regions. </w:t>
      </w:r>
      <w:r w:rsidR="00CF0AE5">
        <w:rPr>
          <w:color w:val="0E101A"/>
        </w:rPr>
        <w:t>D</w:t>
      </w:r>
      <w:r w:rsidRPr="00927FE9">
        <w:rPr>
          <w:color w:val="0E101A"/>
        </w:rPr>
        <w:t>ata show</w:t>
      </w:r>
      <w:r w:rsidR="00A5195A">
        <w:rPr>
          <w:color w:val="0E101A"/>
        </w:rPr>
        <w:t>ed</w:t>
      </w:r>
      <w:r w:rsidRPr="00927FE9">
        <w:rPr>
          <w:color w:val="0E101A"/>
        </w:rPr>
        <w:t xml:space="preserve"> that </w:t>
      </w:r>
      <w:r w:rsidR="00201FD8">
        <w:rPr>
          <w:color w:val="0E101A"/>
        </w:rPr>
        <w:t>Salfit</w:t>
      </w:r>
      <w:r w:rsidRPr="00927FE9">
        <w:rPr>
          <w:color w:val="0E101A"/>
        </w:rPr>
        <w:t xml:space="preserve"> </w:t>
      </w:r>
      <w:r w:rsidR="00A5195A">
        <w:rPr>
          <w:color w:val="0E101A"/>
        </w:rPr>
        <w:t>S</w:t>
      </w:r>
      <w:r w:rsidR="00A5195A" w:rsidRPr="00927FE9">
        <w:rPr>
          <w:color w:val="0E101A"/>
        </w:rPr>
        <w:t xml:space="preserve">tation </w:t>
      </w:r>
      <w:r w:rsidRPr="00927FE9">
        <w:rPr>
          <w:color w:val="0E101A"/>
        </w:rPr>
        <w:t xml:space="preserve">received the highest rainfall during the rainy season, totaling </w:t>
      </w:r>
      <w:r w:rsidR="006B0BA6">
        <w:rPr>
          <w:color w:val="0E101A"/>
        </w:rPr>
        <w:t>332</w:t>
      </w:r>
      <w:r w:rsidRPr="00927FE9">
        <w:rPr>
          <w:color w:val="0E101A"/>
        </w:rPr>
        <w:t xml:space="preserve"> mm, representing </w:t>
      </w:r>
      <w:r w:rsidR="006B0BA6">
        <w:rPr>
          <w:color w:val="0E101A"/>
        </w:rPr>
        <w:t>48</w:t>
      </w:r>
      <w:r w:rsidRPr="00927FE9">
        <w:rPr>
          <w:color w:val="0E101A"/>
        </w:rPr>
        <w:t xml:space="preserve">% of the mean average. On the other hand, Jericho </w:t>
      </w:r>
      <w:r w:rsidR="00A5195A">
        <w:rPr>
          <w:color w:val="0E101A"/>
        </w:rPr>
        <w:t>S</w:t>
      </w:r>
      <w:r w:rsidR="00A5195A" w:rsidRPr="00927FE9">
        <w:rPr>
          <w:color w:val="0E101A"/>
        </w:rPr>
        <w:t xml:space="preserve">tation </w:t>
      </w:r>
      <w:r w:rsidRPr="00927FE9">
        <w:rPr>
          <w:color w:val="0E101A"/>
        </w:rPr>
        <w:t xml:space="preserve">received the lowest rainfall </w:t>
      </w:r>
      <w:r>
        <w:rPr>
          <w:color w:val="0E101A"/>
        </w:rPr>
        <w:t xml:space="preserve">during the season, with only </w:t>
      </w:r>
      <w:r w:rsidR="00201FD8">
        <w:rPr>
          <w:color w:val="0E101A"/>
        </w:rPr>
        <w:t>54.8</w:t>
      </w:r>
      <w:r w:rsidRPr="00927FE9">
        <w:rPr>
          <w:color w:val="0E101A"/>
        </w:rPr>
        <w:t xml:space="preserve"> mm, representing </w:t>
      </w:r>
      <w:r w:rsidR="00201FD8">
        <w:rPr>
          <w:color w:val="0E101A"/>
        </w:rPr>
        <w:t>33</w:t>
      </w:r>
      <w:r w:rsidRPr="00927FE9">
        <w:rPr>
          <w:color w:val="0E101A"/>
        </w:rPr>
        <w:t>% of the mean average.</w:t>
      </w:r>
    </w:p>
    <w:p w:rsidR="004E41A8" w:rsidRDefault="004E41A8" w:rsidP="004E41A8">
      <w:pPr>
        <w:bidi w:val="0"/>
        <w:mirrorIndents/>
        <w:jc w:val="both"/>
        <w:rPr>
          <w:color w:val="0E101A"/>
        </w:rPr>
      </w:pPr>
    </w:p>
    <w:p w:rsidR="00E4243B" w:rsidRDefault="0093530C" w:rsidP="00130E10">
      <w:pPr>
        <w:pStyle w:val="BodyText2"/>
        <w:spacing w:after="0" w:line="240" w:lineRule="auto"/>
        <w:mirrorIndents/>
        <w:jc w:val="center"/>
        <w:rPr>
          <w:b/>
          <w:bCs/>
          <w:color w:val="000000"/>
        </w:rPr>
      </w:pPr>
      <w:r w:rsidRPr="00EB23FD">
        <w:rPr>
          <w:b/>
          <w:bCs/>
          <w:color w:val="000000"/>
        </w:rPr>
        <w:t xml:space="preserve">Cumulative </w:t>
      </w:r>
      <w:r>
        <w:rPr>
          <w:b/>
          <w:bCs/>
          <w:color w:val="000000"/>
        </w:rPr>
        <w:t>A</w:t>
      </w:r>
      <w:r w:rsidRPr="00EB23FD">
        <w:rPr>
          <w:b/>
          <w:bCs/>
          <w:color w:val="000000"/>
        </w:rPr>
        <w:t xml:space="preserve">mounts of </w:t>
      </w:r>
      <w:r>
        <w:rPr>
          <w:b/>
          <w:bCs/>
          <w:color w:val="000000"/>
        </w:rPr>
        <w:t>R</w:t>
      </w:r>
      <w:r w:rsidRPr="00EB23FD">
        <w:rPr>
          <w:b/>
          <w:bCs/>
          <w:color w:val="000000"/>
        </w:rPr>
        <w:t>ainfall</w:t>
      </w:r>
      <w:r>
        <w:rPr>
          <w:b/>
          <w:bCs/>
          <w:color w:val="000000"/>
        </w:rPr>
        <w:t xml:space="preserve"> R</w:t>
      </w:r>
      <w:r w:rsidRPr="0051727B">
        <w:rPr>
          <w:b/>
          <w:bCs/>
          <w:color w:val="000000"/>
        </w:rPr>
        <w:t xml:space="preserve">ecorded at West Bank </w:t>
      </w:r>
      <w:r>
        <w:rPr>
          <w:b/>
          <w:bCs/>
          <w:color w:val="000000"/>
        </w:rPr>
        <w:t>S</w:t>
      </w:r>
      <w:r w:rsidRPr="0051727B">
        <w:rPr>
          <w:b/>
          <w:bCs/>
          <w:color w:val="000000"/>
        </w:rPr>
        <w:t>tations</w:t>
      </w:r>
      <w:r w:rsidRPr="00EB23FD">
        <w:rPr>
          <w:b/>
          <w:bCs/>
          <w:color w:val="000000"/>
        </w:rPr>
        <w:t xml:space="preserve"> from the </w:t>
      </w:r>
      <w:r>
        <w:rPr>
          <w:b/>
          <w:bCs/>
          <w:color w:val="000000"/>
        </w:rPr>
        <w:t>Beginning of the C</w:t>
      </w:r>
      <w:r w:rsidRPr="00EB23FD">
        <w:rPr>
          <w:b/>
          <w:bCs/>
          <w:color w:val="000000"/>
        </w:rPr>
        <w:t xml:space="preserve">urrent </w:t>
      </w:r>
      <w:r>
        <w:rPr>
          <w:b/>
          <w:bCs/>
          <w:color w:val="000000"/>
        </w:rPr>
        <w:t>R</w:t>
      </w:r>
      <w:r w:rsidRPr="00EB23FD">
        <w:rPr>
          <w:b/>
          <w:bCs/>
          <w:color w:val="000000"/>
        </w:rPr>
        <w:t xml:space="preserve">ain </w:t>
      </w:r>
      <w:r>
        <w:rPr>
          <w:b/>
          <w:bCs/>
          <w:color w:val="000000"/>
        </w:rPr>
        <w:t>S</w:t>
      </w:r>
      <w:r w:rsidRPr="00EB23FD">
        <w:rPr>
          <w:b/>
          <w:bCs/>
          <w:color w:val="000000"/>
        </w:rPr>
        <w:t>eason</w:t>
      </w:r>
      <w:r>
        <w:rPr>
          <w:rFonts w:hint="cs"/>
          <w:b/>
          <w:bCs/>
          <w:color w:val="000000"/>
          <w:rtl/>
        </w:rPr>
        <w:t xml:space="preserve"> </w:t>
      </w:r>
      <w:r>
        <w:rPr>
          <w:b/>
          <w:bCs/>
          <w:color w:val="000000"/>
        </w:rPr>
        <w:t xml:space="preserve">2024/2025 </w:t>
      </w:r>
      <w:r w:rsidRPr="00EB23FD">
        <w:rPr>
          <w:b/>
          <w:bCs/>
          <w:color w:val="000000"/>
        </w:rPr>
        <w:t xml:space="preserve">till </w:t>
      </w:r>
      <w:r w:rsidR="00130E10">
        <w:rPr>
          <w:b/>
          <w:bCs/>
          <w:color w:val="000000"/>
        </w:rPr>
        <w:t>02</w:t>
      </w:r>
      <w:r w:rsidRPr="00EB23FD">
        <w:rPr>
          <w:b/>
          <w:bCs/>
          <w:color w:val="000000"/>
        </w:rPr>
        <w:t>/</w:t>
      </w:r>
      <w:r w:rsidR="00CA3732">
        <w:rPr>
          <w:b/>
          <w:bCs/>
          <w:color w:val="000000"/>
        </w:rPr>
        <w:t>0</w:t>
      </w:r>
      <w:r w:rsidR="00130E10">
        <w:rPr>
          <w:b/>
          <w:bCs/>
          <w:color w:val="000000"/>
        </w:rPr>
        <w:t>3</w:t>
      </w:r>
      <w:r w:rsidRPr="00EB23FD">
        <w:rPr>
          <w:b/>
          <w:bCs/>
          <w:color w:val="000000"/>
        </w:rPr>
        <w:t>/</w:t>
      </w:r>
      <w:r>
        <w:rPr>
          <w:b/>
          <w:bCs/>
          <w:color w:val="000000"/>
        </w:rPr>
        <w:t>2025 Compared with G</w:t>
      </w:r>
      <w:r w:rsidRPr="00281541">
        <w:rPr>
          <w:b/>
          <w:bCs/>
          <w:color w:val="000000"/>
        </w:rPr>
        <w:t xml:space="preserve">eneral </w:t>
      </w:r>
      <w:r>
        <w:rPr>
          <w:b/>
          <w:bCs/>
          <w:color w:val="000000"/>
        </w:rPr>
        <w:t>Average by Station L</w:t>
      </w:r>
      <w:r w:rsidRPr="00281541">
        <w:rPr>
          <w:b/>
          <w:bCs/>
          <w:color w:val="000000"/>
        </w:rPr>
        <w:t>ocation</w:t>
      </w:r>
    </w:p>
    <w:p w:rsidR="00A96138" w:rsidRPr="00251336" w:rsidRDefault="00A96138" w:rsidP="004E41A8">
      <w:pPr>
        <w:pStyle w:val="BodyText2"/>
        <w:bidi w:val="0"/>
        <w:spacing w:after="0" w:line="240" w:lineRule="auto"/>
        <w:ind w:left="-284" w:right="-30"/>
        <w:jc w:val="center"/>
        <w:rPr>
          <w:b/>
          <w:bCs/>
          <w:color w:val="000000"/>
          <w:sz w:val="12"/>
          <w:szCs w:val="12"/>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73"/>
        <w:gridCol w:w="998"/>
        <w:gridCol w:w="1137"/>
      </w:tblGrid>
      <w:tr w:rsidR="00A96138" w:rsidRPr="004A3BF6" w:rsidTr="00130E10">
        <w:trPr>
          <w:trHeight w:val="20"/>
          <w:jc w:val="center"/>
        </w:trPr>
        <w:tc>
          <w:tcPr>
            <w:tcW w:w="1267" w:type="dxa"/>
          </w:tcPr>
          <w:p w:rsidR="00A96138" w:rsidRPr="00C279B0" w:rsidRDefault="0093530C" w:rsidP="004E41A8">
            <w:pPr>
              <w:autoSpaceDE w:val="0"/>
              <w:autoSpaceDN w:val="0"/>
              <w:bidi w:val="0"/>
              <w:adjustRightInd w:val="0"/>
              <w:jc w:val="center"/>
              <w:rPr>
                <w:b/>
                <w:bCs/>
                <w:color w:val="000000"/>
                <w:sz w:val="22"/>
                <w:szCs w:val="22"/>
                <w:lang w:eastAsia="en-US"/>
              </w:rPr>
            </w:pPr>
            <w:r w:rsidRPr="00C279B0">
              <w:rPr>
                <w:b/>
                <w:bCs/>
                <w:color w:val="000000"/>
                <w:sz w:val="22"/>
                <w:szCs w:val="22"/>
                <w:lang w:eastAsia="en-US"/>
              </w:rPr>
              <w:t>Station Location</w:t>
            </w:r>
          </w:p>
        </w:tc>
        <w:tc>
          <w:tcPr>
            <w:tcW w:w="1273" w:type="dxa"/>
          </w:tcPr>
          <w:p w:rsidR="00965BC1" w:rsidRPr="00C279B0" w:rsidRDefault="00A96138" w:rsidP="00130E10">
            <w:pPr>
              <w:pStyle w:val="BodyText2"/>
              <w:bidi w:val="0"/>
              <w:spacing w:after="0" w:line="240" w:lineRule="auto"/>
              <w:ind w:left="-284" w:right="-30"/>
              <w:jc w:val="center"/>
              <w:rPr>
                <w:b/>
                <w:bCs/>
                <w:color w:val="000000"/>
                <w:sz w:val="22"/>
                <w:szCs w:val="22"/>
                <w:lang w:eastAsia="en-US"/>
              </w:rPr>
            </w:pPr>
            <w:r w:rsidRPr="00C279B0">
              <w:rPr>
                <w:b/>
                <w:bCs/>
                <w:color w:val="000000"/>
                <w:sz w:val="22"/>
                <w:szCs w:val="22"/>
                <w:lang w:eastAsia="en-US"/>
              </w:rPr>
              <w:t xml:space="preserve">Quantity of </w:t>
            </w:r>
            <w:r w:rsidR="00965BC1" w:rsidRPr="00C279B0">
              <w:rPr>
                <w:b/>
                <w:bCs/>
                <w:color w:val="000000"/>
                <w:sz w:val="22"/>
                <w:szCs w:val="22"/>
                <w:lang w:eastAsia="en-US"/>
              </w:rPr>
              <w:t xml:space="preserve">  </w:t>
            </w:r>
            <w:r w:rsidR="00D61052" w:rsidRPr="00C279B0">
              <w:rPr>
                <w:b/>
                <w:bCs/>
                <w:color w:val="000000"/>
                <w:sz w:val="22"/>
                <w:szCs w:val="22"/>
                <w:lang w:eastAsia="en-US"/>
              </w:rPr>
              <w:t>Rainfall till</w:t>
            </w:r>
            <w:r w:rsidR="00965BC1" w:rsidRPr="00C279B0">
              <w:rPr>
                <w:b/>
                <w:bCs/>
                <w:color w:val="000000"/>
                <w:sz w:val="22"/>
                <w:szCs w:val="22"/>
                <w:lang w:eastAsia="en-US"/>
              </w:rPr>
              <w:t xml:space="preserve"> </w:t>
            </w:r>
            <w:r w:rsidR="00130E10">
              <w:rPr>
                <w:rFonts w:hint="cs"/>
                <w:b/>
                <w:bCs/>
                <w:color w:val="000000"/>
                <w:sz w:val="22"/>
                <w:szCs w:val="22"/>
                <w:rtl/>
                <w:lang w:eastAsia="en-US"/>
              </w:rPr>
              <w:t>02</w:t>
            </w:r>
            <w:r w:rsidR="00965BC1" w:rsidRPr="00C279B0">
              <w:rPr>
                <w:b/>
                <w:bCs/>
                <w:color w:val="000000"/>
                <w:sz w:val="22"/>
                <w:szCs w:val="22"/>
                <w:lang w:eastAsia="en-US"/>
              </w:rPr>
              <w:t>/</w:t>
            </w:r>
            <w:r w:rsidR="00130E10">
              <w:rPr>
                <w:rFonts w:hint="cs"/>
                <w:b/>
                <w:bCs/>
                <w:color w:val="000000"/>
                <w:sz w:val="22"/>
                <w:szCs w:val="22"/>
                <w:rtl/>
                <w:lang w:eastAsia="en-US"/>
              </w:rPr>
              <w:t>03</w:t>
            </w:r>
            <w:r w:rsidR="00965BC1" w:rsidRPr="00C279B0">
              <w:rPr>
                <w:b/>
                <w:bCs/>
                <w:color w:val="000000"/>
                <w:sz w:val="22"/>
                <w:szCs w:val="22"/>
                <w:lang w:eastAsia="en-US"/>
              </w:rPr>
              <w:t>/</w:t>
            </w:r>
            <w:r w:rsidR="005B7847" w:rsidRPr="00C279B0">
              <w:rPr>
                <w:b/>
                <w:bCs/>
                <w:color w:val="000000"/>
                <w:sz w:val="22"/>
                <w:szCs w:val="22"/>
                <w:lang w:eastAsia="en-US"/>
              </w:rPr>
              <w:t>202</w:t>
            </w:r>
            <w:r w:rsidR="0093530C" w:rsidRPr="00C279B0">
              <w:rPr>
                <w:b/>
                <w:bCs/>
                <w:color w:val="000000"/>
                <w:sz w:val="22"/>
                <w:szCs w:val="22"/>
                <w:lang w:eastAsia="en-US"/>
              </w:rPr>
              <w:t>5</w:t>
            </w:r>
          </w:p>
          <w:p w:rsidR="00A96138" w:rsidRPr="00C279B0" w:rsidRDefault="00A96138" w:rsidP="004E41A8">
            <w:pPr>
              <w:autoSpaceDE w:val="0"/>
              <w:autoSpaceDN w:val="0"/>
              <w:bidi w:val="0"/>
              <w:adjustRightInd w:val="0"/>
              <w:jc w:val="center"/>
              <w:rPr>
                <w:b/>
                <w:bCs/>
                <w:color w:val="000000"/>
                <w:sz w:val="22"/>
                <w:szCs w:val="22"/>
                <w:rtl/>
                <w:lang w:eastAsia="en-US"/>
              </w:rPr>
            </w:pPr>
            <w:r w:rsidRPr="00C279B0">
              <w:rPr>
                <w:b/>
                <w:bCs/>
                <w:color w:val="000000"/>
                <w:sz w:val="22"/>
                <w:szCs w:val="22"/>
                <w:lang w:eastAsia="en-US"/>
              </w:rPr>
              <w:t>(mm)</w:t>
            </w:r>
          </w:p>
        </w:tc>
        <w:tc>
          <w:tcPr>
            <w:tcW w:w="998" w:type="dxa"/>
          </w:tcPr>
          <w:p w:rsidR="00A96138" w:rsidRPr="00C279B0" w:rsidRDefault="00A96138" w:rsidP="004E41A8">
            <w:pPr>
              <w:autoSpaceDE w:val="0"/>
              <w:autoSpaceDN w:val="0"/>
              <w:bidi w:val="0"/>
              <w:adjustRightInd w:val="0"/>
              <w:jc w:val="center"/>
              <w:rPr>
                <w:rFonts w:hint="cs"/>
                <w:b/>
                <w:bCs/>
                <w:color w:val="000000"/>
                <w:sz w:val="22"/>
                <w:szCs w:val="22"/>
                <w:rtl/>
                <w:lang w:eastAsia="en-US"/>
              </w:rPr>
            </w:pPr>
            <w:r w:rsidRPr="00C279B0">
              <w:rPr>
                <w:b/>
                <w:bCs/>
                <w:color w:val="000000"/>
                <w:sz w:val="22"/>
                <w:szCs w:val="22"/>
                <w:lang w:eastAsia="en-US"/>
              </w:rPr>
              <w:t>Mean Average</w:t>
            </w:r>
          </w:p>
          <w:p w:rsidR="00A96138" w:rsidRPr="00C279B0" w:rsidRDefault="00A96138" w:rsidP="004E41A8">
            <w:pPr>
              <w:autoSpaceDE w:val="0"/>
              <w:autoSpaceDN w:val="0"/>
              <w:bidi w:val="0"/>
              <w:adjustRightInd w:val="0"/>
              <w:jc w:val="center"/>
              <w:rPr>
                <w:b/>
                <w:bCs/>
                <w:color w:val="000000"/>
                <w:sz w:val="22"/>
                <w:szCs w:val="22"/>
                <w:rtl/>
                <w:lang w:eastAsia="en-US"/>
              </w:rPr>
            </w:pPr>
            <w:r w:rsidRPr="00C279B0">
              <w:rPr>
                <w:b/>
                <w:bCs/>
                <w:color w:val="000000"/>
                <w:sz w:val="22"/>
                <w:szCs w:val="22"/>
                <w:lang w:eastAsia="en-US"/>
              </w:rPr>
              <w:t>(mm</w:t>
            </w:r>
            <w:r w:rsidR="00AD6BCE" w:rsidRPr="00C279B0">
              <w:rPr>
                <w:rFonts w:hint="cs"/>
                <w:b/>
                <w:bCs/>
                <w:color w:val="000000"/>
                <w:sz w:val="22"/>
                <w:szCs w:val="22"/>
                <w:rtl/>
                <w:lang w:eastAsia="en-US"/>
              </w:rPr>
              <w:t>(</w:t>
            </w:r>
          </w:p>
        </w:tc>
        <w:tc>
          <w:tcPr>
            <w:tcW w:w="1137" w:type="dxa"/>
            <w:vAlign w:val="center"/>
          </w:tcPr>
          <w:p w:rsidR="00A96138" w:rsidRPr="00C279B0" w:rsidRDefault="00A96138" w:rsidP="004E41A8">
            <w:pPr>
              <w:autoSpaceDE w:val="0"/>
              <w:autoSpaceDN w:val="0"/>
              <w:bidi w:val="0"/>
              <w:adjustRightInd w:val="0"/>
              <w:jc w:val="center"/>
              <w:rPr>
                <w:b/>
                <w:bCs/>
                <w:color w:val="000000"/>
                <w:sz w:val="22"/>
                <w:szCs w:val="22"/>
                <w:lang w:eastAsia="en-US"/>
              </w:rPr>
            </w:pPr>
            <w:r w:rsidRPr="00C279B0">
              <w:rPr>
                <w:b/>
                <w:bCs/>
                <w:color w:val="000000"/>
                <w:sz w:val="22"/>
                <w:szCs w:val="22"/>
                <w:lang w:eastAsia="en-US"/>
              </w:rPr>
              <w:t>% of Mean Average</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lang w:eastAsia="en-US"/>
              </w:rPr>
            </w:pPr>
            <w:r w:rsidRPr="00C279B0">
              <w:rPr>
                <w:color w:val="000000"/>
                <w:sz w:val="22"/>
                <w:szCs w:val="22"/>
              </w:rPr>
              <w:t>Salfit</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332.0</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698.1</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48</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Nablus</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331.4</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660.1</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50</w:t>
            </w:r>
          </w:p>
        </w:tc>
      </w:tr>
      <w:tr w:rsidR="00130E10" w:rsidRPr="004A3BF6" w:rsidTr="00130E10">
        <w:trPr>
          <w:trHeight w:hRule="exact" w:val="417"/>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Qalqiliya</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331.0</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624.9</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53</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Tulkarm</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289.9</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602.4</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48</w:t>
            </w:r>
          </w:p>
        </w:tc>
      </w:tr>
      <w:tr w:rsidR="00130E10" w:rsidRPr="004A3BF6" w:rsidTr="00130E10">
        <w:trPr>
          <w:trHeight w:hRule="exact" w:val="973"/>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lastRenderedPageBreak/>
              <w:t>Ramallah and  Al-Bireh</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257.4</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615.2</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42</w:t>
            </w:r>
          </w:p>
        </w:tc>
      </w:tr>
      <w:tr w:rsidR="00130E10" w:rsidRPr="004A3BF6" w:rsidTr="00130E10">
        <w:trPr>
          <w:trHeight w:hRule="exact" w:val="428"/>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Hebron</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226.0</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595.9</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38</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Jenin</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224.1</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468.2</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48</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Tubas</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219.0</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431.2</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51</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Jerusalem</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207.5</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537</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39</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Bethlehem</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187.6</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518.4</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36</w:t>
            </w:r>
          </w:p>
        </w:tc>
      </w:tr>
      <w:tr w:rsidR="00130E10" w:rsidRPr="004A3BF6" w:rsidTr="00130E10">
        <w:trPr>
          <w:trHeight w:hRule="exact" w:val="340"/>
          <w:jc w:val="center"/>
        </w:trPr>
        <w:tc>
          <w:tcPr>
            <w:tcW w:w="1267" w:type="dxa"/>
            <w:vAlign w:val="center"/>
          </w:tcPr>
          <w:p w:rsidR="00130E10" w:rsidRPr="00C279B0" w:rsidRDefault="00130E10" w:rsidP="00130E10">
            <w:pPr>
              <w:jc w:val="right"/>
              <w:rPr>
                <w:color w:val="000000"/>
                <w:sz w:val="22"/>
                <w:szCs w:val="22"/>
              </w:rPr>
            </w:pPr>
            <w:r w:rsidRPr="00C279B0">
              <w:rPr>
                <w:color w:val="000000"/>
                <w:sz w:val="22"/>
                <w:szCs w:val="22"/>
              </w:rPr>
              <w:t>Jericho</w:t>
            </w:r>
          </w:p>
        </w:tc>
        <w:tc>
          <w:tcPr>
            <w:tcW w:w="1273" w:type="dxa"/>
            <w:vAlign w:val="center"/>
          </w:tcPr>
          <w:p w:rsidR="00130E10" w:rsidRPr="005C5FA0" w:rsidRDefault="00130E10" w:rsidP="00130E10">
            <w:pPr>
              <w:bidi w:val="0"/>
              <w:jc w:val="center"/>
              <w:rPr>
                <w:rFonts w:ascii="Simplified Arabic" w:hAnsi="Simplified Arabic" w:cs="Simplified Arabic"/>
                <w:color w:val="000000"/>
                <w:sz w:val="20"/>
                <w:szCs w:val="20"/>
              </w:rPr>
            </w:pPr>
            <w:r w:rsidRPr="00D0717D">
              <w:rPr>
                <w:rFonts w:ascii="Simplified Arabic" w:hAnsi="Simplified Arabic" w:cs="Simplified Arabic"/>
                <w:color w:val="000000"/>
                <w:sz w:val="20"/>
                <w:szCs w:val="20"/>
                <w:rtl/>
              </w:rPr>
              <w:t>54.8</w:t>
            </w:r>
          </w:p>
        </w:tc>
        <w:tc>
          <w:tcPr>
            <w:tcW w:w="998" w:type="dxa"/>
            <w:vAlign w:val="center"/>
          </w:tcPr>
          <w:p w:rsidR="00130E10" w:rsidRPr="00130E10" w:rsidRDefault="00130E10" w:rsidP="00130E10">
            <w:pPr>
              <w:bidi w:val="0"/>
              <w:jc w:val="center"/>
              <w:rPr>
                <w:rFonts w:ascii="Simplified Arabic" w:hAnsi="Simplified Arabic" w:cs="Simplified Arabic"/>
                <w:color w:val="000000"/>
                <w:sz w:val="20"/>
                <w:szCs w:val="20"/>
              </w:rPr>
            </w:pPr>
            <w:r w:rsidRPr="00130E10">
              <w:rPr>
                <w:rFonts w:ascii="Simplified Arabic" w:hAnsi="Simplified Arabic" w:cs="Simplified Arabic"/>
                <w:color w:val="000000"/>
                <w:sz w:val="20"/>
                <w:szCs w:val="20"/>
              </w:rPr>
              <w:t>166</w:t>
            </w:r>
          </w:p>
        </w:tc>
        <w:tc>
          <w:tcPr>
            <w:tcW w:w="1137" w:type="dxa"/>
            <w:vAlign w:val="center"/>
          </w:tcPr>
          <w:p w:rsidR="00130E10" w:rsidRPr="005C5FA0" w:rsidRDefault="00130E10" w:rsidP="00130E10">
            <w:pPr>
              <w:bidi w:val="0"/>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33</w:t>
            </w:r>
          </w:p>
        </w:tc>
      </w:tr>
    </w:tbl>
    <w:p w:rsidR="00F57151" w:rsidRDefault="00A96138" w:rsidP="004E41A8">
      <w:pPr>
        <w:autoSpaceDE w:val="0"/>
        <w:autoSpaceDN w:val="0"/>
        <w:bidi w:val="0"/>
        <w:adjustRightInd w:val="0"/>
        <w:jc w:val="lowKashida"/>
        <w:rPr>
          <w:color w:val="000000"/>
          <w:lang w:eastAsia="en-US"/>
        </w:rPr>
      </w:pPr>
      <w:r>
        <w:rPr>
          <w:color w:val="000000"/>
          <w:lang w:eastAsia="en-US"/>
        </w:rPr>
        <w:t xml:space="preserve"> </w:t>
      </w:r>
    </w:p>
    <w:p w:rsidR="00895355" w:rsidRPr="002C69B4" w:rsidRDefault="00BF4595" w:rsidP="00DB6CA8">
      <w:pPr>
        <w:pStyle w:val="NormalWeb"/>
        <w:spacing w:before="0" w:beforeAutospacing="0" w:after="0" w:afterAutospacing="0"/>
        <w:mirrorIndents/>
        <w:jc w:val="both"/>
        <w:rPr>
          <w:b/>
          <w:bCs/>
          <w:color w:val="0E101A"/>
        </w:rPr>
      </w:pPr>
      <w:r>
        <w:rPr>
          <w:rStyle w:val="Strong"/>
          <w:color w:val="0E101A"/>
        </w:rPr>
        <w:t>H</w:t>
      </w:r>
      <w:r w:rsidRPr="00E442EB">
        <w:rPr>
          <w:rStyle w:val="Strong"/>
          <w:color w:val="0E101A"/>
        </w:rPr>
        <w:t xml:space="preserve">ighest </w:t>
      </w:r>
      <w:r>
        <w:rPr>
          <w:rStyle w:val="Strong"/>
          <w:color w:val="0E101A"/>
        </w:rPr>
        <w:t>h</w:t>
      </w:r>
      <w:r w:rsidR="0093530C" w:rsidRPr="00E442EB">
        <w:rPr>
          <w:rStyle w:val="Strong"/>
          <w:color w:val="0E101A"/>
        </w:rPr>
        <w:t xml:space="preserve">umidity in Hebron, </w:t>
      </w:r>
      <w:r w:rsidR="008D43BA">
        <w:rPr>
          <w:rStyle w:val="Strong"/>
          <w:color w:val="0E101A"/>
        </w:rPr>
        <w:t xml:space="preserve">and the </w:t>
      </w:r>
      <w:r w:rsidR="0093530C">
        <w:rPr>
          <w:rStyle w:val="Strong"/>
          <w:color w:val="0E101A"/>
        </w:rPr>
        <w:t>l</w:t>
      </w:r>
      <w:r w:rsidR="002C69B4">
        <w:rPr>
          <w:rStyle w:val="Strong"/>
          <w:color w:val="0E101A"/>
        </w:rPr>
        <w:t>owest in Jericho</w:t>
      </w:r>
    </w:p>
    <w:p w:rsidR="0093530C" w:rsidRDefault="008D43BA" w:rsidP="008D43BA">
      <w:pPr>
        <w:pStyle w:val="NormalWeb"/>
        <w:spacing w:before="0" w:beforeAutospacing="0" w:after="0" w:afterAutospacing="0"/>
        <w:mirrorIndents/>
        <w:jc w:val="both"/>
        <w:rPr>
          <w:color w:val="0E101A"/>
        </w:rPr>
      </w:pPr>
      <w:r>
        <w:rPr>
          <w:color w:val="0E101A"/>
        </w:rPr>
        <w:t>In 2024, d</w:t>
      </w:r>
      <w:r w:rsidR="0093530C">
        <w:rPr>
          <w:color w:val="0E101A"/>
        </w:rPr>
        <w:t>ata showed that the relative humidity varied between 74% in Hebron Station and 44% in Jericho Station. It is important to note that high humidity levels do not necessarily indicate rainfall and could be in the form of other water phenomena such as fog, clouds touching the earth's surface, or dew formation.</w:t>
      </w:r>
    </w:p>
    <w:p w:rsidR="006673AC" w:rsidRDefault="006673AC" w:rsidP="004E41A8">
      <w:pPr>
        <w:autoSpaceDE w:val="0"/>
        <w:autoSpaceDN w:val="0"/>
        <w:bidi w:val="0"/>
        <w:adjustRightInd w:val="0"/>
        <w:jc w:val="lowKashida"/>
        <w:rPr>
          <w:color w:val="000000"/>
          <w:lang w:eastAsia="en-US"/>
        </w:rPr>
      </w:pPr>
    </w:p>
    <w:p w:rsidR="003B3542" w:rsidRDefault="00A96138" w:rsidP="00E1111C">
      <w:pPr>
        <w:autoSpaceDE w:val="0"/>
        <w:autoSpaceDN w:val="0"/>
        <w:bidi w:val="0"/>
        <w:adjustRightInd w:val="0"/>
        <w:ind w:left="-360" w:firstLine="360"/>
        <w:jc w:val="center"/>
        <w:rPr>
          <w:b/>
          <w:bCs/>
          <w:color w:val="000000"/>
        </w:rPr>
      </w:pPr>
      <w:r w:rsidRPr="00F82412">
        <w:rPr>
          <w:b/>
          <w:bCs/>
          <w:color w:val="000000"/>
        </w:rPr>
        <w:t xml:space="preserve">Mean Relative Humidity (%) in </w:t>
      </w:r>
      <w:r w:rsidR="002E5E3D">
        <w:rPr>
          <w:b/>
          <w:bCs/>
          <w:color w:val="000000"/>
        </w:rPr>
        <w:t>202</w:t>
      </w:r>
      <w:r w:rsidR="002C69B4">
        <w:rPr>
          <w:rFonts w:hint="cs"/>
          <w:b/>
          <w:bCs/>
          <w:color w:val="000000"/>
          <w:rtl/>
        </w:rPr>
        <w:t>4</w:t>
      </w:r>
      <w:r w:rsidRPr="00F82412">
        <w:rPr>
          <w:b/>
          <w:bCs/>
          <w:color w:val="000000"/>
        </w:rPr>
        <w:t xml:space="preserve"> and </w:t>
      </w:r>
      <w:r w:rsidR="006673AC" w:rsidRPr="00F82412">
        <w:rPr>
          <w:b/>
          <w:bCs/>
          <w:color w:val="000000"/>
        </w:rPr>
        <w:t>Mea</w:t>
      </w:r>
      <w:r w:rsidR="006673AC">
        <w:rPr>
          <w:b/>
          <w:bCs/>
          <w:color w:val="000000"/>
        </w:rPr>
        <w:t>n</w:t>
      </w:r>
      <w:r w:rsidRPr="00F82412">
        <w:rPr>
          <w:b/>
          <w:bCs/>
          <w:color w:val="000000"/>
        </w:rPr>
        <w:t xml:space="preserve"> Average in Some West Bank Stations</w:t>
      </w:r>
    </w:p>
    <w:tbl>
      <w:tblPr>
        <w:tblpPr w:leftFromText="180" w:rightFromText="180" w:vertAnchor="text" w:horzAnchor="page" w:tblpX="2949" w:tblpY="88"/>
        <w:tblW w:w="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122"/>
        <w:gridCol w:w="998"/>
        <w:gridCol w:w="1112"/>
      </w:tblGrid>
      <w:tr w:rsidR="00E1111C" w:rsidRPr="00706AD8" w:rsidTr="009F3B2E">
        <w:tc>
          <w:tcPr>
            <w:tcW w:w="1494" w:type="dxa"/>
            <w:vAlign w:val="center"/>
          </w:tcPr>
          <w:p w:rsidR="00E1111C" w:rsidRPr="00C279B0" w:rsidRDefault="00E1111C" w:rsidP="009F3B2E">
            <w:pPr>
              <w:autoSpaceDE w:val="0"/>
              <w:autoSpaceDN w:val="0"/>
              <w:bidi w:val="0"/>
              <w:adjustRightInd w:val="0"/>
              <w:jc w:val="center"/>
              <w:rPr>
                <w:rFonts w:eastAsia="Calibri"/>
                <w:b/>
                <w:bCs/>
                <w:color w:val="000000"/>
                <w:sz w:val="22"/>
                <w:szCs w:val="22"/>
                <w:lang w:eastAsia="en-US"/>
              </w:rPr>
            </w:pPr>
            <w:r w:rsidRPr="00C279B0">
              <w:rPr>
                <w:rFonts w:eastAsia="Calibri"/>
                <w:b/>
                <w:bCs/>
                <w:color w:val="000000"/>
                <w:sz w:val="22"/>
                <w:szCs w:val="22"/>
                <w:lang w:eastAsia="en-US"/>
              </w:rPr>
              <w:t>Station</w:t>
            </w:r>
          </w:p>
        </w:tc>
        <w:tc>
          <w:tcPr>
            <w:tcW w:w="1122" w:type="dxa"/>
            <w:vAlign w:val="center"/>
          </w:tcPr>
          <w:p w:rsidR="00E1111C" w:rsidRPr="00C279B0" w:rsidRDefault="00E1111C" w:rsidP="009F3B2E">
            <w:pPr>
              <w:autoSpaceDE w:val="0"/>
              <w:autoSpaceDN w:val="0"/>
              <w:bidi w:val="0"/>
              <w:adjustRightInd w:val="0"/>
              <w:jc w:val="center"/>
              <w:rPr>
                <w:rFonts w:eastAsia="Calibri"/>
                <w:b/>
                <w:bCs/>
                <w:color w:val="000000"/>
                <w:sz w:val="22"/>
                <w:szCs w:val="22"/>
                <w:lang w:eastAsia="en-US"/>
              </w:rPr>
            </w:pPr>
            <w:r w:rsidRPr="00C279B0">
              <w:rPr>
                <w:rFonts w:eastAsia="Calibri"/>
                <w:b/>
                <w:bCs/>
                <w:color w:val="000000"/>
                <w:sz w:val="22"/>
                <w:szCs w:val="22"/>
                <w:lang w:eastAsia="en-US"/>
              </w:rPr>
              <w:t>Relative Humidity (%), 2024</w:t>
            </w:r>
          </w:p>
        </w:tc>
        <w:tc>
          <w:tcPr>
            <w:tcW w:w="998" w:type="dxa"/>
            <w:vAlign w:val="center"/>
          </w:tcPr>
          <w:p w:rsidR="00E1111C" w:rsidRPr="00C279B0" w:rsidRDefault="00E1111C" w:rsidP="009F3B2E">
            <w:pPr>
              <w:autoSpaceDE w:val="0"/>
              <w:autoSpaceDN w:val="0"/>
              <w:bidi w:val="0"/>
              <w:adjustRightInd w:val="0"/>
              <w:jc w:val="center"/>
              <w:rPr>
                <w:rFonts w:eastAsia="Calibri"/>
                <w:b/>
                <w:bCs/>
                <w:color w:val="000000"/>
                <w:sz w:val="22"/>
                <w:szCs w:val="22"/>
                <w:lang w:eastAsia="en-US"/>
              </w:rPr>
            </w:pPr>
            <w:r w:rsidRPr="00C279B0">
              <w:rPr>
                <w:rFonts w:eastAsia="Calibri"/>
                <w:b/>
                <w:bCs/>
                <w:color w:val="000000"/>
                <w:sz w:val="22"/>
                <w:szCs w:val="22"/>
                <w:lang w:eastAsia="en-US"/>
              </w:rPr>
              <w:t>Mean Average</w:t>
            </w:r>
          </w:p>
          <w:p w:rsidR="00E1111C" w:rsidRPr="00C279B0" w:rsidRDefault="00E1111C" w:rsidP="009F3B2E">
            <w:pPr>
              <w:autoSpaceDE w:val="0"/>
              <w:autoSpaceDN w:val="0"/>
              <w:bidi w:val="0"/>
              <w:adjustRightInd w:val="0"/>
              <w:jc w:val="center"/>
              <w:rPr>
                <w:rFonts w:eastAsia="Calibri"/>
                <w:b/>
                <w:bCs/>
                <w:color w:val="000000"/>
                <w:sz w:val="22"/>
                <w:szCs w:val="22"/>
                <w:lang w:eastAsia="en-US"/>
              </w:rPr>
            </w:pPr>
            <w:r w:rsidRPr="00C279B0">
              <w:rPr>
                <w:rFonts w:eastAsia="Calibri"/>
                <w:b/>
                <w:bCs/>
                <w:color w:val="000000"/>
                <w:sz w:val="22"/>
                <w:szCs w:val="22"/>
                <w:lang w:eastAsia="en-US"/>
              </w:rPr>
              <w:t>%</w:t>
            </w:r>
          </w:p>
        </w:tc>
        <w:tc>
          <w:tcPr>
            <w:tcW w:w="1112" w:type="dxa"/>
            <w:vAlign w:val="center"/>
          </w:tcPr>
          <w:p w:rsidR="00E1111C" w:rsidRPr="00C279B0" w:rsidRDefault="00E1111C" w:rsidP="009F3B2E">
            <w:pPr>
              <w:autoSpaceDE w:val="0"/>
              <w:autoSpaceDN w:val="0"/>
              <w:bidi w:val="0"/>
              <w:adjustRightInd w:val="0"/>
              <w:jc w:val="center"/>
              <w:rPr>
                <w:rFonts w:eastAsia="Calibri"/>
                <w:b/>
                <w:bCs/>
                <w:color w:val="000000"/>
                <w:sz w:val="22"/>
                <w:szCs w:val="22"/>
                <w:lang w:eastAsia="en-US"/>
              </w:rPr>
            </w:pPr>
            <w:r w:rsidRPr="00C279B0">
              <w:rPr>
                <w:b/>
                <w:bCs/>
                <w:color w:val="000000"/>
                <w:sz w:val="22"/>
                <w:szCs w:val="22"/>
                <w:lang w:eastAsia="en-US"/>
              </w:rPr>
              <w:t>% of Mean Average</w:t>
            </w:r>
          </w:p>
        </w:tc>
      </w:tr>
      <w:tr w:rsidR="00E1111C" w:rsidRPr="00706AD8" w:rsidTr="009F3B2E">
        <w:tc>
          <w:tcPr>
            <w:tcW w:w="1494" w:type="dxa"/>
          </w:tcPr>
          <w:p w:rsidR="00E1111C" w:rsidRPr="00C279B0" w:rsidRDefault="00E1111C" w:rsidP="009F3B2E">
            <w:pPr>
              <w:jc w:val="right"/>
              <w:rPr>
                <w:color w:val="000000"/>
                <w:sz w:val="22"/>
                <w:szCs w:val="22"/>
                <w:rtl/>
              </w:rPr>
            </w:pPr>
            <w:r w:rsidRPr="00C279B0">
              <w:rPr>
                <w:color w:val="000000"/>
                <w:sz w:val="22"/>
                <w:szCs w:val="22"/>
              </w:rPr>
              <w:t xml:space="preserve"> Hebron</w:t>
            </w:r>
          </w:p>
        </w:tc>
        <w:tc>
          <w:tcPr>
            <w:tcW w:w="1122" w:type="dxa"/>
            <w:vAlign w:val="center"/>
          </w:tcPr>
          <w:p w:rsidR="00E1111C" w:rsidRPr="00C279B0" w:rsidRDefault="00E1111C" w:rsidP="009F3B2E">
            <w:pPr>
              <w:bidi w:val="0"/>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74</w:t>
            </w:r>
          </w:p>
        </w:tc>
        <w:tc>
          <w:tcPr>
            <w:tcW w:w="998" w:type="dxa"/>
            <w:vAlign w:val="center"/>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tl/>
              </w:rPr>
              <w:t>62</w:t>
            </w:r>
          </w:p>
        </w:tc>
        <w:tc>
          <w:tcPr>
            <w:tcW w:w="1112" w:type="dxa"/>
            <w:vAlign w:val="bottom"/>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119.4</w:t>
            </w:r>
          </w:p>
        </w:tc>
      </w:tr>
      <w:tr w:rsidR="00E1111C" w:rsidRPr="00706AD8" w:rsidTr="009F3B2E">
        <w:tc>
          <w:tcPr>
            <w:tcW w:w="1494" w:type="dxa"/>
          </w:tcPr>
          <w:p w:rsidR="00E1111C" w:rsidRPr="00C279B0" w:rsidRDefault="00E1111C" w:rsidP="009F3B2E">
            <w:pPr>
              <w:jc w:val="right"/>
              <w:rPr>
                <w:color w:val="000000"/>
                <w:sz w:val="22"/>
                <w:szCs w:val="22"/>
              </w:rPr>
            </w:pPr>
            <w:r w:rsidRPr="00C279B0">
              <w:rPr>
                <w:color w:val="000000"/>
                <w:sz w:val="22"/>
                <w:szCs w:val="22"/>
              </w:rPr>
              <w:t>Ramallah and  Al-Bireh</w:t>
            </w:r>
          </w:p>
        </w:tc>
        <w:tc>
          <w:tcPr>
            <w:tcW w:w="1122" w:type="dxa"/>
            <w:vAlign w:val="center"/>
          </w:tcPr>
          <w:p w:rsidR="00E1111C" w:rsidRPr="00C279B0" w:rsidRDefault="00E1111C" w:rsidP="009F3B2E">
            <w:pPr>
              <w:bidi w:val="0"/>
              <w:jc w:val="center"/>
              <w:rPr>
                <w:rFonts w:ascii="Simplified Arabic" w:hAnsi="Simplified Arabic" w:cs="Simplified Arabic"/>
                <w:color w:val="000000"/>
                <w:sz w:val="22"/>
                <w:szCs w:val="22"/>
                <w:rtl/>
              </w:rPr>
            </w:pPr>
            <w:r w:rsidRPr="00C279B0">
              <w:rPr>
                <w:rFonts w:ascii="Simplified Arabic" w:hAnsi="Simplified Arabic" w:cs="Simplified Arabic"/>
                <w:color w:val="000000"/>
                <w:sz w:val="22"/>
                <w:szCs w:val="22"/>
              </w:rPr>
              <w:t>67</w:t>
            </w:r>
          </w:p>
        </w:tc>
        <w:tc>
          <w:tcPr>
            <w:tcW w:w="998" w:type="dxa"/>
            <w:vAlign w:val="center"/>
          </w:tcPr>
          <w:p w:rsidR="00E1111C" w:rsidRPr="00C279B0" w:rsidRDefault="00E1111C" w:rsidP="009F3B2E">
            <w:pPr>
              <w:jc w:val="center"/>
              <w:rPr>
                <w:rFonts w:ascii="Simplified Arabic" w:hAnsi="Simplified Arabic" w:cs="Simplified Arabic"/>
                <w:color w:val="000000"/>
                <w:sz w:val="22"/>
                <w:szCs w:val="22"/>
                <w:rtl/>
              </w:rPr>
            </w:pPr>
            <w:r w:rsidRPr="00C279B0">
              <w:rPr>
                <w:rFonts w:ascii="Simplified Arabic" w:hAnsi="Simplified Arabic" w:cs="Simplified Arabic"/>
                <w:color w:val="000000"/>
                <w:sz w:val="22"/>
                <w:szCs w:val="22"/>
                <w:rtl/>
              </w:rPr>
              <w:t>75</w:t>
            </w:r>
          </w:p>
        </w:tc>
        <w:tc>
          <w:tcPr>
            <w:tcW w:w="1112" w:type="dxa"/>
            <w:vAlign w:val="center"/>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89.3</w:t>
            </w:r>
          </w:p>
        </w:tc>
      </w:tr>
      <w:tr w:rsidR="00E1111C" w:rsidRPr="00706AD8" w:rsidTr="009F3B2E">
        <w:tc>
          <w:tcPr>
            <w:tcW w:w="1494" w:type="dxa"/>
          </w:tcPr>
          <w:p w:rsidR="00E1111C" w:rsidRPr="00C279B0" w:rsidRDefault="00E1111C" w:rsidP="009F3B2E">
            <w:pPr>
              <w:jc w:val="right"/>
              <w:rPr>
                <w:color w:val="000000"/>
                <w:sz w:val="22"/>
                <w:szCs w:val="22"/>
              </w:rPr>
            </w:pPr>
            <w:r w:rsidRPr="00C279B0">
              <w:rPr>
                <w:color w:val="000000"/>
                <w:sz w:val="22"/>
                <w:szCs w:val="22"/>
              </w:rPr>
              <w:t>Jenin</w:t>
            </w:r>
          </w:p>
        </w:tc>
        <w:tc>
          <w:tcPr>
            <w:tcW w:w="1122" w:type="dxa"/>
            <w:vAlign w:val="center"/>
          </w:tcPr>
          <w:p w:rsidR="00E1111C" w:rsidRPr="00C279B0" w:rsidRDefault="00E1111C" w:rsidP="009F3B2E">
            <w:pPr>
              <w:bidi w:val="0"/>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tl/>
              </w:rPr>
              <w:t>6</w:t>
            </w:r>
            <w:r w:rsidRPr="00C279B0">
              <w:rPr>
                <w:rFonts w:ascii="Simplified Arabic" w:hAnsi="Simplified Arabic" w:cs="Simplified Arabic"/>
                <w:color w:val="000000"/>
                <w:sz w:val="22"/>
                <w:szCs w:val="22"/>
              </w:rPr>
              <w:t>6</w:t>
            </w:r>
          </w:p>
        </w:tc>
        <w:tc>
          <w:tcPr>
            <w:tcW w:w="998" w:type="dxa"/>
            <w:vAlign w:val="center"/>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tl/>
              </w:rPr>
              <w:t>69</w:t>
            </w:r>
          </w:p>
        </w:tc>
        <w:tc>
          <w:tcPr>
            <w:tcW w:w="1112" w:type="dxa"/>
            <w:vAlign w:val="bottom"/>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95.7</w:t>
            </w:r>
          </w:p>
        </w:tc>
      </w:tr>
      <w:tr w:rsidR="00E1111C" w:rsidRPr="00706AD8" w:rsidTr="009F3B2E">
        <w:tc>
          <w:tcPr>
            <w:tcW w:w="1494" w:type="dxa"/>
          </w:tcPr>
          <w:p w:rsidR="00E1111C" w:rsidRPr="00C279B0" w:rsidRDefault="00E1111C" w:rsidP="009F3B2E">
            <w:pPr>
              <w:jc w:val="right"/>
              <w:rPr>
                <w:color w:val="000000"/>
                <w:sz w:val="22"/>
                <w:szCs w:val="22"/>
              </w:rPr>
            </w:pPr>
            <w:r w:rsidRPr="00C279B0">
              <w:rPr>
                <w:color w:val="000000"/>
                <w:sz w:val="22"/>
                <w:szCs w:val="22"/>
              </w:rPr>
              <w:t>Nablus</w:t>
            </w:r>
          </w:p>
        </w:tc>
        <w:tc>
          <w:tcPr>
            <w:tcW w:w="1122" w:type="dxa"/>
            <w:vAlign w:val="center"/>
          </w:tcPr>
          <w:p w:rsidR="00E1111C" w:rsidRPr="00C279B0" w:rsidRDefault="00E1111C" w:rsidP="009F3B2E">
            <w:pPr>
              <w:bidi w:val="0"/>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65</w:t>
            </w:r>
          </w:p>
        </w:tc>
        <w:tc>
          <w:tcPr>
            <w:tcW w:w="998" w:type="dxa"/>
            <w:vAlign w:val="center"/>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tl/>
              </w:rPr>
              <w:t>61</w:t>
            </w:r>
          </w:p>
        </w:tc>
        <w:tc>
          <w:tcPr>
            <w:tcW w:w="1112" w:type="dxa"/>
            <w:vAlign w:val="bottom"/>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106.6</w:t>
            </w:r>
          </w:p>
        </w:tc>
      </w:tr>
      <w:tr w:rsidR="00E1111C" w:rsidRPr="00706AD8" w:rsidTr="009F3B2E">
        <w:tc>
          <w:tcPr>
            <w:tcW w:w="1494" w:type="dxa"/>
          </w:tcPr>
          <w:p w:rsidR="00E1111C" w:rsidRPr="00C279B0" w:rsidRDefault="00E1111C" w:rsidP="009F3B2E">
            <w:pPr>
              <w:jc w:val="right"/>
              <w:rPr>
                <w:color w:val="000000"/>
                <w:sz w:val="22"/>
                <w:szCs w:val="22"/>
              </w:rPr>
            </w:pPr>
            <w:r w:rsidRPr="00C279B0">
              <w:rPr>
                <w:color w:val="000000"/>
                <w:sz w:val="22"/>
                <w:szCs w:val="22"/>
              </w:rPr>
              <w:t>Jericho</w:t>
            </w:r>
          </w:p>
        </w:tc>
        <w:tc>
          <w:tcPr>
            <w:tcW w:w="1122" w:type="dxa"/>
            <w:vAlign w:val="center"/>
          </w:tcPr>
          <w:p w:rsidR="00E1111C" w:rsidRPr="00C279B0" w:rsidRDefault="00E1111C" w:rsidP="009F3B2E">
            <w:pPr>
              <w:bidi w:val="0"/>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44</w:t>
            </w:r>
          </w:p>
        </w:tc>
        <w:tc>
          <w:tcPr>
            <w:tcW w:w="998" w:type="dxa"/>
            <w:vAlign w:val="center"/>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tl/>
              </w:rPr>
              <w:t>52</w:t>
            </w:r>
          </w:p>
        </w:tc>
        <w:tc>
          <w:tcPr>
            <w:tcW w:w="1112" w:type="dxa"/>
            <w:vAlign w:val="bottom"/>
          </w:tcPr>
          <w:p w:rsidR="00E1111C" w:rsidRPr="00C279B0" w:rsidRDefault="00E1111C" w:rsidP="009F3B2E">
            <w:pPr>
              <w:jc w:val="center"/>
              <w:rPr>
                <w:rFonts w:ascii="Simplified Arabic" w:hAnsi="Simplified Arabic" w:cs="Simplified Arabic"/>
                <w:color w:val="000000"/>
                <w:sz w:val="22"/>
                <w:szCs w:val="22"/>
              </w:rPr>
            </w:pPr>
            <w:r w:rsidRPr="00C279B0">
              <w:rPr>
                <w:rFonts w:ascii="Simplified Arabic" w:hAnsi="Simplified Arabic" w:cs="Simplified Arabic"/>
                <w:color w:val="000000"/>
                <w:sz w:val="22"/>
                <w:szCs w:val="22"/>
              </w:rPr>
              <w:t>84.6</w:t>
            </w:r>
          </w:p>
        </w:tc>
      </w:tr>
    </w:tbl>
    <w:p w:rsidR="00E1111C" w:rsidRDefault="00EE298F" w:rsidP="00E1111C">
      <w:pPr>
        <w:pStyle w:val="BodyText2"/>
        <w:bidi w:val="0"/>
        <w:spacing w:after="0" w:line="240" w:lineRule="auto"/>
        <w:ind w:left="-180" w:right="-739"/>
        <w:rPr>
          <w:b/>
          <w:bCs/>
          <w:color w:val="000000"/>
        </w:rPr>
      </w:pPr>
      <w:r>
        <w:rPr>
          <w:b/>
          <w:bCs/>
          <w:color w:val="000000"/>
        </w:rPr>
        <w:t xml:space="preserve"> </w:t>
      </w: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9F3B2E" w:rsidRDefault="009F3B2E" w:rsidP="00E1111C">
      <w:pPr>
        <w:mirrorIndents/>
        <w:jc w:val="right"/>
        <w:rPr>
          <w:b/>
          <w:bCs/>
          <w:color w:val="0E101A"/>
          <w:rtl/>
        </w:rPr>
      </w:pPr>
    </w:p>
    <w:p w:rsidR="00EA676C" w:rsidRPr="00E1111C" w:rsidRDefault="00BC355C" w:rsidP="00E1111C">
      <w:pPr>
        <w:mirrorIndents/>
        <w:jc w:val="right"/>
        <w:rPr>
          <w:b/>
          <w:bCs/>
          <w:color w:val="0E101A"/>
        </w:rPr>
      </w:pPr>
      <w:r w:rsidRPr="00927FE9">
        <w:rPr>
          <w:b/>
          <w:bCs/>
          <w:color w:val="0E101A"/>
        </w:rPr>
        <w:t>Total evaporation was higher than the mean average in 202</w:t>
      </w:r>
      <w:r>
        <w:rPr>
          <w:b/>
          <w:bCs/>
          <w:color w:val="0E101A"/>
        </w:rPr>
        <w:t>4</w:t>
      </w:r>
    </w:p>
    <w:p w:rsidR="00BC355C" w:rsidRDefault="00E1111C" w:rsidP="00E1111C">
      <w:pPr>
        <w:bidi w:val="0"/>
        <w:ind w:left="90" w:hanging="540"/>
        <w:mirrorIndents/>
        <w:jc w:val="both"/>
        <w:rPr>
          <w:color w:val="0E101A"/>
        </w:rPr>
      </w:pPr>
      <w:r>
        <w:rPr>
          <w:color w:val="0E101A"/>
        </w:rPr>
        <w:t xml:space="preserve">         </w:t>
      </w:r>
      <w:r w:rsidR="00BC355C" w:rsidRPr="00927FE9">
        <w:rPr>
          <w:color w:val="0E101A"/>
        </w:rPr>
        <w:t>Data showed that the total evaporation in the West Bank station</w:t>
      </w:r>
      <w:r w:rsidR="00A5195A">
        <w:rPr>
          <w:color w:val="0E101A"/>
        </w:rPr>
        <w:t>s</w:t>
      </w:r>
      <w:r w:rsidR="00BC355C" w:rsidRPr="00927FE9">
        <w:rPr>
          <w:color w:val="0E101A"/>
        </w:rPr>
        <w:t xml:space="preserve"> during 202</w:t>
      </w:r>
      <w:r w:rsidR="00BC355C">
        <w:rPr>
          <w:color w:val="0E101A"/>
        </w:rPr>
        <w:t>4</w:t>
      </w:r>
      <w:r w:rsidR="00BC355C" w:rsidRPr="00927FE9">
        <w:rPr>
          <w:color w:val="0E101A"/>
        </w:rPr>
        <w:t xml:space="preserve"> was higher than the mean average. The majority of the stations recorded an increase in evaporation, with the highest amount of 2,</w:t>
      </w:r>
      <w:r w:rsidR="00BC355C">
        <w:rPr>
          <w:color w:val="0E101A"/>
        </w:rPr>
        <w:t>811</w:t>
      </w:r>
      <w:r w:rsidR="00BC355C" w:rsidRPr="00927FE9">
        <w:rPr>
          <w:color w:val="0E101A"/>
        </w:rPr>
        <w:t xml:space="preserve"> mm observed in the Jericho Station and the lowest amount of 1,7</w:t>
      </w:r>
      <w:r w:rsidR="00BC355C">
        <w:rPr>
          <w:color w:val="0E101A"/>
        </w:rPr>
        <w:t>0</w:t>
      </w:r>
      <w:r w:rsidR="00BC355C" w:rsidRPr="00927FE9">
        <w:rPr>
          <w:color w:val="0E101A"/>
        </w:rPr>
        <w:t>6 mm observed in the Nablus Station.</w:t>
      </w:r>
      <w:r w:rsidR="00BC355C">
        <w:rPr>
          <w:color w:val="0E101A"/>
        </w:rPr>
        <w:t xml:space="preserve">  </w:t>
      </w:r>
      <w:r w:rsidR="00BC355C" w:rsidRPr="00927FE9">
        <w:rPr>
          <w:color w:val="0E101A"/>
        </w:rPr>
        <w:t>It is worth noting that high temperatures and wind activity in the region influence the amount of evaporation.</w:t>
      </w:r>
    </w:p>
    <w:p w:rsidR="00BC355C" w:rsidRDefault="00BC355C" w:rsidP="004E41A8">
      <w:pPr>
        <w:pStyle w:val="BodyText2"/>
        <w:bidi w:val="0"/>
        <w:spacing w:line="240" w:lineRule="auto"/>
        <w:ind w:left="-810"/>
        <w:jc w:val="both"/>
        <w:rPr>
          <w:b/>
          <w:bCs/>
          <w:color w:val="000000"/>
        </w:rPr>
      </w:pPr>
    </w:p>
    <w:p w:rsidR="00BC355C" w:rsidRPr="00DE38DA" w:rsidRDefault="00BC355C" w:rsidP="00880C10">
      <w:pPr>
        <w:pStyle w:val="BodyText2"/>
        <w:spacing w:line="240" w:lineRule="auto"/>
        <w:ind w:right="-450"/>
        <w:mirrorIndents/>
        <w:rPr>
          <w:color w:val="000000"/>
          <w:rtl/>
        </w:rPr>
      </w:pPr>
      <w:r>
        <w:rPr>
          <w:b/>
          <w:bCs/>
          <w:color w:val="000000"/>
        </w:rPr>
        <w:t xml:space="preserve">Total </w:t>
      </w:r>
      <w:r w:rsidRPr="00DE38DA">
        <w:rPr>
          <w:b/>
          <w:bCs/>
          <w:color w:val="000000"/>
        </w:rPr>
        <w:t xml:space="preserve">Evaporation in </w:t>
      </w:r>
      <w:r>
        <w:rPr>
          <w:b/>
          <w:bCs/>
          <w:color w:val="000000"/>
        </w:rPr>
        <w:t>2024</w:t>
      </w:r>
      <w:r w:rsidRPr="00DE38DA">
        <w:rPr>
          <w:b/>
          <w:bCs/>
          <w:color w:val="000000"/>
        </w:rPr>
        <w:t xml:space="preserve"> and Mean</w:t>
      </w:r>
      <w:r>
        <w:rPr>
          <w:b/>
          <w:bCs/>
          <w:color w:val="000000"/>
        </w:rPr>
        <w:t xml:space="preserve"> Average of Evaporation </w:t>
      </w:r>
      <w:r w:rsidRPr="00DE38DA">
        <w:rPr>
          <w:b/>
          <w:bCs/>
          <w:color w:val="000000"/>
        </w:rPr>
        <w:t>in Some West Bank Stations</w:t>
      </w:r>
    </w:p>
    <w:tbl>
      <w:tblPr>
        <w:tblW w:w="5063" w:type="dxa"/>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390"/>
        <w:gridCol w:w="1212"/>
        <w:gridCol w:w="1350"/>
      </w:tblGrid>
      <w:tr w:rsidR="005B7847" w:rsidRPr="00706AD8" w:rsidTr="009F3B2E">
        <w:trPr>
          <w:trHeight w:val="656"/>
        </w:trPr>
        <w:tc>
          <w:tcPr>
            <w:tcW w:w="1111" w:type="dxa"/>
          </w:tcPr>
          <w:p w:rsidR="005B7847" w:rsidRPr="00706AD8" w:rsidRDefault="005B7847" w:rsidP="004E41A8">
            <w:pPr>
              <w:autoSpaceDE w:val="0"/>
              <w:autoSpaceDN w:val="0"/>
              <w:bidi w:val="0"/>
              <w:adjustRightInd w:val="0"/>
              <w:ind w:left="77" w:right="-110" w:hanging="77"/>
              <w:jc w:val="center"/>
              <w:rPr>
                <w:rFonts w:eastAsia="Calibri"/>
                <w:b/>
                <w:bCs/>
                <w:color w:val="000000"/>
                <w:sz w:val="22"/>
                <w:szCs w:val="22"/>
                <w:lang w:eastAsia="en-US"/>
              </w:rPr>
            </w:pPr>
          </w:p>
          <w:p w:rsidR="005B7847" w:rsidRPr="00706AD8" w:rsidRDefault="005B7847" w:rsidP="004E41A8">
            <w:pPr>
              <w:autoSpaceDE w:val="0"/>
              <w:autoSpaceDN w:val="0"/>
              <w:bidi w:val="0"/>
              <w:adjustRightInd w:val="0"/>
              <w:rPr>
                <w:rFonts w:eastAsia="Calibri"/>
                <w:b/>
                <w:bCs/>
                <w:color w:val="000000"/>
                <w:sz w:val="22"/>
                <w:szCs w:val="22"/>
                <w:lang w:eastAsia="en-US"/>
              </w:rPr>
            </w:pPr>
            <w:r w:rsidRPr="00706AD8">
              <w:rPr>
                <w:rFonts w:eastAsia="Calibri"/>
                <w:b/>
                <w:bCs/>
                <w:color w:val="000000"/>
                <w:sz w:val="22"/>
                <w:szCs w:val="22"/>
                <w:lang w:eastAsia="en-US"/>
              </w:rPr>
              <w:t>Station</w:t>
            </w:r>
          </w:p>
        </w:tc>
        <w:tc>
          <w:tcPr>
            <w:tcW w:w="1390" w:type="dxa"/>
          </w:tcPr>
          <w:p w:rsidR="005B7847" w:rsidRPr="0031212C" w:rsidRDefault="0031212C" w:rsidP="004E41A8">
            <w:pPr>
              <w:autoSpaceDE w:val="0"/>
              <w:autoSpaceDN w:val="0"/>
              <w:bidi w:val="0"/>
              <w:adjustRightInd w:val="0"/>
              <w:jc w:val="center"/>
              <w:rPr>
                <w:rFonts w:eastAsia="Calibri"/>
                <w:b/>
                <w:bCs/>
                <w:color w:val="000000"/>
                <w:sz w:val="22"/>
                <w:szCs w:val="22"/>
                <w:rtl/>
                <w:lang w:eastAsia="en-US"/>
              </w:rPr>
            </w:pPr>
            <w:r w:rsidRPr="0031212C">
              <w:rPr>
                <w:rFonts w:eastAsia="Calibri"/>
                <w:b/>
                <w:bCs/>
                <w:color w:val="000000"/>
                <w:sz w:val="22"/>
                <w:szCs w:val="22"/>
              </w:rPr>
              <w:t>Total Evaporation (mm), 2024</w:t>
            </w:r>
          </w:p>
        </w:tc>
        <w:tc>
          <w:tcPr>
            <w:tcW w:w="1212" w:type="dxa"/>
          </w:tcPr>
          <w:p w:rsidR="005B7847" w:rsidRPr="00706AD8" w:rsidRDefault="005B7847" w:rsidP="004E41A8">
            <w:pPr>
              <w:autoSpaceDE w:val="0"/>
              <w:autoSpaceDN w:val="0"/>
              <w:bidi w:val="0"/>
              <w:adjustRightInd w:val="0"/>
              <w:jc w:val="center"/>
              <w:rPr>
                <w:rFonts w:eastAsia="Calibri"/>
                <w:b/>
                <w:bCs/>
                <w:color w:val="000000"/>
                <w:sz w:val="22"/>
                <w:szCs w:val="22"/>
                <w:rtl/>
                <w:lang w:eastAsia="en-US"/>
              </w:rPr>
            </w:pPr>
            <w:r w:rsidRPr="00706AD8">
              <w:rPr>
                <w:rFonts w:eastAsia="Calibri"/>
                <w:b/>
                <w:bCs/>
                <w:color w:val="000000"/>
                <w:sz w:val="22"/>
                <w:szCs w:val="22"/>
                <w:lang w:eastAsia="en-US"/>
              </w:rPr>
              <w:t>Mean Average</w:t>
            </w:r>
          </w:p>
          <w:p w:rsidR="005B7847" w:rsidRPr="00706AD8" w:rsidRDefault="005B7847" w:rsidP="004E41A8">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(mm)</w:t>
            </w:r>
          </w:p>
        </w:tc>
        <w:tc>
          <w:tcPr>
            <w:tcW w:w="1350" w:type="dxa"/>
          </w:tcPr>
          <w:p w:rsidR="005B7847" w:rsidRPr="00706AD8" w:rsidRDefault="005B7847" w:rsidP="004E41A8">
            <w:pPr>
              <w:autoSpaceDE w:val="0"/>
              <w:autoSpaceDN w:val="0"/>
              <w:bidi w:val="0"/>
              <w:adjustRightInd w:val="0"/>
              <w:jc w:val="center"/>
              <w:rPr>
                <w:rFonts w:eastAsia="Calibri"/>
                <w:b/>
                <w:bCs/>
                <w:color w:val="000000"/>
                <w:sz w:val="22"/>
                <w:szCs w:val="22"/>
                <w:lang w:eastAsia="en-US"/>
              </w:rPr>
            </w:pPr>
            <w:r w:rsidRPr="00706AD8">
              <w:rPr>
                <w:b/>
                <w:bCs/>
                <w:color w:val="000000"/>
                <w:sz w:val="22"/>
                <w:szCs w:val="22"/>
                <w:lang w:eastAsia="en-US"/>
              </w:rPr>
              <w:t>% of  Mean Average</w:t>
            </w:r>
          </w:p>
        </w:tc>
      </w:tr>
      <w:tr w:rsidR="0031212C" w:rsidRPr="00706AD8" w:rsidTr="009F3B2E">
        <w:tc>
          <w:tcPr>
            <w:tcW w:w="1111" w:type="dxa"/>
          </w:tcPr>
          <w:p w:rsidR="0031212C" w:rsidRPr="0031212C" w:rsidRDefault="0031212C" w:rsidP="004E41A8">
            <w:pPr>
              <w:autoSpaceDE w:val="0"/>
              <w:autoSpaceDN w:val="0"/>
              <w:adjustRightInd w:val="0"/>
              <w:mirrorIndents/>
              <w:jc w:val="right"/>
              <w:rPr>
                <w:color w:val="000000"/>
                <w:sz w:val="22"/>
                <w:szCs w:val="22"/>
                <w:rtl/>
              </w:rPr>
            </w:pPr>
            <w:r w:rsidRPr="0031212C">
              <w:rPr>
                <w:color w:val="000000"/>
                <w:sz w:val="22"/>
                <w:szCs w:val="22"/>
              </w:rPr>
              <w:t>Jericho</w:t>
            </w:r>
          </w:p>
        </w:tc>
        <w:tc>
          <w:tcPr>
            <w:tcW w:w="1390"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2,811</w:t>
            </w:r>
          </w:p>
        </w:tc>
        <w:tc>
          <w:tcPr>
            <w:tcW w:w="1212"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2,101</w:t>
            </w:r>
          </w:p>
        </w:tc>
        <w:tc>
          <w:tcPr>
            <w:tcW w:w="1350" w:type="dxa"/>
            <w:vAlign w:val="bottom"/>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133.8</w:t>
            </w:r>
          </w:p>
        </w:tc>
      </w:tr>
      <w:tr w:rsidR="0031212C" w:rsidRPr="00706AD8" w:rsidTr="009F3B2E">
        <w:tc>
          <w:tcPr>
            <w:tcW w:w="1111" w:type="dxa"/>
          </w:tcPr>
          <w:p w:rsidR="0031212C" w:rsidRPr="0031212C" w:rsidRDefault="0031212C" w:rsidP="004E41A8">
            <w:pPr>
              <w:autoSpaceDE w:val="0"/>
              <w:autoSpaceDN w:val="0"/>
              <w:adjustRightInd w:val="0"/>
              <w:mirrorIndents/>
              <w:jc w:val="right"/>
              <w:rPr>
                <w:color w:val="000000"/>
                <w:sz w:val="22"/>
                <w:szCs w:val="22"/>
              </w:rPr>
            </w:pPr>
            <w:r w:rsidRPr="0031212C">
              <w:rPr>
                <w:color w:val="000000"/>
                <w:sz w:val="22"/>
                <w:szCs w:val="22"/>
              </w:rPr>
              <w:t>Jenin</w:t>
            </w:r>
          </w:p>
        </w:tc>
        <w:tc>
          <w:tcPr>
            <w:tcW w:w="1390"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1,971</w:t>
            </w:r>
          </w:p>
        </w:tc>
        <w:tc>
          <w:tcPr>
            <w:tcW w:w="1212"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hint="cs"/>
                <w:color w:val="000000"/>
                <w:sz w:val="22"/>
                <w:szCs w:val="22"/>
                <w:rtl/>
              </w:rPr>
              <w:t>..</w:t>
            </w:r>
          </w:p>
        </w:tc>
        <w:tc>
          <w:tcPr>
            <w:tcW w:w="1350" w:type="dxa"/>
            <w:vAlign w:val="bottom"/>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w:t>
            </w:r>
          </w:p>
        </w:tc>
      </w:tr>
      <w:tr w:rsidR="0031212C" w:rsidRPr="00706AD8" w:rsidTr="009F3B2E">
        <w:tc>
          <w:tcPr>
            <w:tcW w:w="1111" w:type="dxa"/>
          </w:tcPr>
          <w:p w:rsidR="0031212C" w:rsidRPr="0031212C" w:rsidRDefault="0031212C" w:rsidP="004E41A8">
            <w:pPr>
              <w:autoSpaceDE w:val="0"/>
              <w:autoSpaceDN w:val="0"/>
              <w:adjustRightInd w:val="0"/>
              <w:mirrorIndents/>
              <w:jc w:val="right"/>
              <w:rPr>
                <w:color w:val="000000"/>
                <w:sz w:val="22"/>
                <w:szCs w:val="22"/>
              </w:rPr>
            </w:pPr>
            <w:r w:rsidRPr="0031212C">
              <w:rPr>
                <w:color w:val="000000"/>
                <w:sz w:val="22"/>
                <w:szCs w:val="22"/>
              </w:rPr>
              <w:t>Ramallah and Al-Bireh</w:t>
            </w:r>
          </w:p>
        </w:tc>
        <w:tc>
          <w:tcPr>
            <w:tcW w:w="1390"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1,752</w:t>
            </w:r>
          </w:p>
        </w:tc>
        <w:tc>
          <w:tcPr>
            <w:tcW w:w="1212" w:type="dxa"/>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1,889</w:t>
            </w:r>
          </w:p>
        </w:tc>
        <w:tc>
          <w:tcPr>
            <w:tcW w:w="1350" w:type="dxa"/>
            <w:vAlign w:val="bottom"/>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92.7</w:t>
            </w:r>
          </w:p>
        </w:tc>
      </w:tr>
      <w:tr w:rsidR="0031212C" w:rsidRPr="00706AD8" w:rsidTr="009F3B2E">
        <w:tc>
          <w:tcPr>
            <w:tcW w:w="1111" w:type="dxa"/>
            <w:tcBorders>
              <w:bottom w:val="single" w:sz="4" w:space="0" w:color="auto"/>
            </w:tcBorders>
          </w:tcPr>
          <w:p w:rsidR="0031212C" w:rsidRPr="0031212C" w:rsidRDefault="0031212C" w:rsidP="004E41A8">
            <w:pPr>
              <w:autoSpaceDE w:val="0"/>
              <w:autoSpaceDN w:val="0"/>
              <w:adjustRightInd w:val="0"/>
              <w:mirrorIndents/>
              <w:jc w:val="right"/>
              <w:rPr>
                <w:color w:val="000000"/>
                <w:sz w:val="22"/>
                <w:szCs w:val="22"/>
              </w:rPr>
            </w:pPr>
            <w:r w:rsidRPr="0031212C">
              <w:rPr>
                <w:color w:val="000000"/>
                <w:sz w:val="22"/>
                <w:szCs w:val="22"/>
              </w:rPr>
              <w:t>Nablus</w:t>
            </w:r>
          </w:p>
        </w:tc>
        <w:tc>
          <w:tcPr>
            <w:tcW w:w="1390" w:type="dxa"/>
            <w:tcBorders>
              <w:bottom w:val="single" w:sz="4" w:space="0" w:color="auto"/>
            </w:tcBorders>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1,706</w:t>
            </w:r>
          </w:p>
        </w:tc>
        <w:tc>
          <w:tcPr>
            <w:tcW w:w="1212" w:type="dxa"/>
            <w:tcBorders>
              <w:bottom w:val="single" w:sz="4" w:space="0" w:color="auto"/>
            </w:tcBorders>
            <w:vAlign w:val="center"/>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1,682</w:t>
            </w:r>
          </w:p>
        </w:tc>
        <w:tc>
          <w:tcPr>
            <w:tcW w:w="1350" w:type="dxa"/>
            <w:tcBorders>
              <w:bottom w:val="single" w:sz="4" w:space="0" w:color="auto"/>
            </w:tcBorders>
            <w:vAlign w:val="bottom"/>
          </w:tcPr>
          <w:p w:rsidR="0031212C" w:rsidRPr="0031212C" w:rsidRDefault="0031212C" w:rsidP="004E41A8">
            <w:pPr>
              <w:mirrorIndents/>
              <w:jc w:val="right"/>
              <w:rPr>
                <w:rFonts w:ascii="Simplified Arabic" w:hAnsi="Simplified Arabic" w:cs="Simplified Arabic"/>
                <w:color w:val="000000"/>
                <w:sz w:val="22"/>
                <w:szCs w:val="22"/>
              </w:rPr>
            </w:pPr>
            <w:r w:rsidRPr="0031212C">
              <w:rPr>
                <w:rFonts w:ascii="Simplified Arabic" w:hAnsi="Simplified Arabic" w:cs="Simplified Arabic"/>
                <w:color w:val="000000"/>
                <w:sz w:val="22"/>
                <w:szCs w:val="22"/>
              </w:rPr>
              <w:t>101.4</w:t>
            </w:r>
          </w:p>
        </w:tc>
      </w:tr>
      <w:tr w:rsidR="00DE38DA" w:rsidRPr="00706AD8" w:rsidTr="009F3B2E">
        <w:tc>
          <w:tcPr>
            <w:tcW w:w="5063" w:type="dxa"/>
            <w:gridSpan w:val="4"/>
            <w:tcBorders>
              <w:top w:val="single" w:sz="4" w:space="0" w:color="auto"/>
              <w:left w:val="nil"/>
              <w:bottom w:val="nil"/>
              <w:right w:val="nil"/>
            </w:tcBorders>
          </w:tcPr>
          <w:p w:rsidR="00DE38DA" w:rsidRDefault="00DE38DA" w:rsidP="004E41A8">
            <w:pPr>
              <w:autoSpaceDE w:val="0"/>
              <w:autoSpaceDN w:val="0"/>
              <w:adjustRightInd w:val="0"/>
              <w:jc w:val="right"/>
              <w:rPr>
                <w:color w:val="000000"/>
                <w:sz w:val="22"/>
                <w:szCs w:val="22"/>
                <w:rtl/>
                <w:lang w:eastAsia="en-US"/>
              </w:rPr>
            </w:pPr>
            <w:r w:rsidRPr="00247BF3">
              <w:rPr>
                <w:color w:val="000000"/>
                <w:sz w:val="22"/>
                <w:szCs w:val="22"/>
                <w:lang w:eastAsia="en-US"/>
              </w:rPr>
              <w:t xml:space="preserve">..: Data not Available </w:t>
            </w:r>
          </w:p>
          <w:p w:rsidR="009F3B2E" w:rsidRDefault="009F3B2E" w:rsidP="004E41A8">
            <w:pPr>
              <w:autoSpaceDE w:val="0"/>
              <w:autoSpaceDN w:val="0"/>
              <w:adjustRightInd w:val="0"/>
              <w:jc w:val="right"/>
              <w:rPr>
                <w:color w:val="000000"/>
                <w:sz w:val="22"/>
                <w:szCs w:val="22"/>
                <w:rtl/>
                <w:lang w:eastAsia="en-US"/>
              </w:rPr>
            </w:pPr>
          </w:p>
          <w:p w:rsidR="009F3B2E" w:rsidRPr="00247BF3" w:rsidRDefault="009F3B2E" w:rsidP="004E41A8">
            <w:pPr>
              <w:autoSpaceDE w:val="0"/>
              <w:autoSpaceDN w:val="0"/>
              <w:adjustRightInd w:val="0"/>
              <w:jc w:val="right"/>
              <w:rPr>
                <w:color w:val="000000"/>
                <w:sz w:val="22"/>
                <w:szCs w:val="22"/>
                <w:lang w:eastAsia="en-US"/>
              </w:rPr>
            </w:pPr>
          </w:p>
        </w:tc>
      </w:tr>
    </w:tbl>
    <w:p w:rsidR="006673AC" w:rsidRDefault="006673AC" w:rsidP="004E41A8">
      <w:pPr>
        <w:autoSpaceDE w:val="0"/>
        <w:autoSpaceDN w:val="0"/>
        <w:bidi w:val="0"/>
        <w:adjustRightInd w:val="0"/>
        <w:jc w:val="lowKashida"/>
        <w:rPr>
          <w:color w:val="000000"/>
          <w:sz w:val="16"/>
          <w:szCs w:val="16"/>
          <w:lang w:eastAsia="en-US"/>
        </w:rPr>
      </w:pPr>
    </w:p>
    <w:p w:rsidR="0030140A" w:rsidRDefault="0030140A" w:rsidP="00A5195A">
      <w:pPr>
        <w:ind w:right="-450"/>
        <w:mirrorIndents/>
        <w:jc w:val="right"/>
        <w:rPr>
          <w:b/>
          <w:bCs/>
          <w:color w:val="0E101A"/>
          <w:rtl/>
        </w:rPr>
      </w:pPr>
      <w:r w:rsidRPr="00E10AAA">
        <w:rPr>
          <w:b/>
          <w:bCs/>
          <w:color w:val="0E101A"/>
        </w:rPr>
        <w:lastRenderedPageBreak/>
        <w:t xml:space="preserve">Air </w:t>
      </w:r>
      <w:r w:rsidR="00A5195A">
        <w:rPr>
          <w:b/>
          <w:bCs/>
          <w:color w:val="0E101A"/>
        </w:rPr>
        <w:t>t</w:t>
      </w:r>
      <w:r w:rsidR="00A5195A" w:rsidRPr="00E10AAA">
        <w:rPr>
          <w:b/>
          <w:bCs/>
          <w:color w:val="0E101A"/>
        </w:rPr>
        <w:t xml:space="preserve">emperatures </w:t>
      </w:r>
      <w:r w:rsidRPr="00E10AAA">
        <w:rPr>
          <w:b/>
          <w:bCs/>
          <w:color w:val="0E101A"/>
        </w:rPr>
        <w:t>in 20</w:t>
      </w:r>
      <w:r>
        <w:rPr>
          <w:b/>
          <w:bCs/>
          <w:color w:val="0E101A"/>
        </w:rPr>
        <w:t>24</w:t>
      </w:r>
      <w:r w:rsidRPr="00E10AAA">
        <w:rPr>
          <w:b/>
          <w:bCs/>
          <w:color w:val="0E101A"/>
        </w:rPr>
        <w:t xml:space="preserve"> are higher than the mean average</w:t>
      </w:r>
    </w:p>
    <w:p w:rsidR="0030140A" w:rsidRDefault="0030140A" w:rsidP="00A5195A">
      <w:pPr>
        <w:bidi w:val="0"/>
        <w:ind w:left="-450"/>
        <w:mirrorIndents/>
        <w:jc w:val="both"/>
        <w:rPr>
          <w:color w:val="0E101A"/>
          <w:rtl/>
        </w:rPr>
      </w:pPr>
      <w:r w:rsidRPr="00927FE9">
        <w:rPr>
          <w:color w:val="0E101A"/>
        </w:rPr>
        <w:t>Air temperatures in the West Bank in 202</w:t>
      </w:r>
      <w:r>
        <w:rPr>
          <w:color w:val="0E101A"/>
        </w:rPr>
        <w:t>4</w:t>
      </w:r>
      <w:r w:rsidRPr="00927FE9">
        <w:rPr>
          <w:color w:val="0E101A"/>
        </w:rPr>
        <w:t xml:space="preserve"> were analyzed using data from selected</w:t>
      </w:r>
      <w:r w:rsidR="00447802">
        <w:rPr>
          <w:color w:val="0E101A"/>
        </w:rPr>
        <w:t xml:space="preserve"> </w:t>
      </w:r>
      <w:r w:rsidRPr="00927FE9">
        <w:rPr>
          <w:color w:val="0E101A"/>
        </w:rPr>
        <w:t xml:space="preserve">stations </w:t>
      </w:r>
      <w:r w:rsidR="00447802">
        <w:rPr>
          <w:color w:val="0E101A"/>
        </w:rPr>
        <w:t>r</w:t>
      </w:r>
      <w:r>
        <w:rPr>
          <w:color w:val="0E101A"/>
        </w:rPr>
        <w:t>epresenting</w:t>
      </w:r>
      <w:r w:rsidRPr="00927FE9">
        <w:rPr>
          <w:color w:val="0E101A"/>
        </w:rPr>
        <w:t xml:space="preserve"> the </w:t>
      </w:r>
      <w:r w:rsidRPr="00BC6D96">
        <w:rPr>
          <w:color w:val="0E101A"/>
        </w:rPr>
        <w:t>different climate zones. Including mountainous</w:t>
      </w:r>
      <w:r w:rsidRPr="00927FE9">
        <w:rPr>
          <w:color w:val="0E101A"/>
        </w:rPr>
        <w:t>, semi-coastal and Al-Aghwar region. The results showed that the air temperatures in 202</w:t>
      </w:r>
      <w:r>
        <w:rPr>
          <w:color w:val="0E101A"/>
        </w:rPr>
        <w:t>4</w:t>
      </w:r>
      <w:r w:rsidRPr="00927FE9">
        <w:rPr>
          <w:color w:val="0E101A"/>
        </w:rPr>
        <w:t xml:space="preserve"> were higher than the mean average by 3.</w:t>
      </w:r>
      <w:r>
        <w:rPr>
          <w:color w:val="0E101A"/>
        </w:rPr>
        <w:t>6</w:t>
      </w:r>
      <w:r w:rsidRPr="00927FE9">
        <w:rPr>
          <w:color w:val="0E101A"/>
        </w:rPr>
        <w:t xml:space="preserve">°C in Jericho </w:t>
      </w:r>
      <w:r w:rsidR="00A5195A">
        <w:rPr>
          <w:color w:val="0E101A"/>
        </w:rPr>
        <w:t>S</w:t>
      </w:r>
      <w:r w:rsidR="00A5195A" w:rsidRPr="00927FE9">
        <w:rPr>
          <w:color w:val="0E101A"/>
        </w:rPr>
        <w:t>tation</w:t>
      </w:r>
      <w:r w:rsidRPr="00927FE9">
        <w:rPr>
          <w:color w:val="0E101A"/>
        </w:rPr>
        <w:t>.</w:t>
      </w:r>
    </w:p>
    <w:p w:rsidR="002054FC" w:rsidRPr="00927FE9" w:rsidRDefault="002054FC" w:rsidP="002054FC">
      <w:pPr>
        <w:bidi w:val="0"/>
        <w:ind w:left="-450"/>
        <w:mirrorIndents/>
        <w:jc w:val="both"/>
        <w:rPr>
          <w:color w:val="0E101A"/>
          <w:rtl/>
        </w:rPr>
      </w:pPr>
    </w:p>
    <w:p w:rsidR="0030140A" w:rsidRDefault="0030140A" w:rsidP="00E1111C">
      <w:pPr>
        <w:bidi w:val="0"/>
        <w:ind w:left="-450"/>
        <w:mirrorIndents/>
        <w:jc w:val="both"/>
        <w:rPr>
          <w:color w:val="0E101A"/>
        </w:rPr>
      </w:pPr>
      <w:r w:rsidRPr="00927FE9">
        <w:rPr>
          <w:color w:val="0E101A"/>
        </w:rPr>
        <w:t xml:space="preserve">This significant increase in air temperatures can be attributed to heat waves that affected the West Bank during </w:t>
      </w:r>
      <w:r>
        <w:rPr>
          <w:color w:val="0E101A"/>
        </w:rPr>
        <w:t>June,</w:t>
      </w:r>
      <w:r w:rsidRPr="00927FE9">
        <w:rPr>
          <w:color w:val="0E101A"/>
        </w:rPr>
        <w:t xml:space="preserve"> July</w:t>
      </w:r>
      <w:r>
        <w:rPr>
          <w:color w:val="0E101A"/>
        </w:rPr>
        <w:t xml:space="preserve"> and </w:t>
      </w:r>
      <w:r w:rsidRPr="00927FE9">
        <w:rPr>
          <w:color w:val="0E101A"/>
        </w:rPr>
        <w:t>August. The mountainous, coastal, and semi-coastal areas were particularly affected, resulting in even higher temperatures in those locations. These heat waves were also accompanied by a marked increase in humidity levels in the same areas.</w:t>
      </w:r>
    </w:p>
    <w:p w:rsidR="00E4243B" w:rsidRPr="00F006D5" w:rsidRDefault="00E4243B" w:rsidP="00E1111C">
      <w:pPr>
        <w:autoSpaceDE w:val="0"/>
        <w:autoSpaceDN w:val="0"/>
        <w:bidi w:val="0"/>
        <w:adjustRightInd w:val="0"/>
        <w:jc w:val="both"/>
        <w:rPr>
          <w:color w:val="000000"/>
          <w:lang w:eastAsia="en-US"/>
        </w:rPr>
      </w:pPr>
    </w:p>
    <w:p w:rsidR="009F3B2E" w:rsidRDefault="0030140A" w:rsidP="009F3B2E">
      <w:pPr>
        <w:bidi w:val="0"/>
        <w:mirrorIndents/>
        <w:jc w:val="center"/>
        <w:rPr>
          <w:b/>
          <w:bCs/>
          <w:color w:val="0E101A"/>
          <w:rtl/>
        </w:rPr>
      </w:pPr>
      <w:r w:rsidRPr="00927FE9">
        <w:rPr>
          <w:b/>
          <w:bCs/>
          <w:color w:val="0E101A"/>
        </w:rPr>
        <w:t>Variations in Air Temperatures (°C) from Mean Average at West Bank Stations</w:t>
      </w:r>
    </w:p>
    <w:p w:rsidR="009F3B2E" w:rsidRDefault="0030140A" w:rsidP="009F3B2E">
      <w:pPr>
        <w:bidi w:val="0"/>
        <w:mirrorIndents/>
        <w:jc w:val="center"/>
        <w:rPr>
          <w:b/>
          <w:bCs/>
          <w:color w:val="0E101A"/>
          <w:rtl/>
        </w:rPr>
      </w:pPr>
      <w:r w:rsidRPr="00927FE9">
        <w:rPr>
          <w:b/>
          <w:bCs/>
          <w:color w:val="0E101A"/>
        </w:rPr>
        <w:t xml:space="preserve"> in </w:t>
      </w:r>
      <w:r w:rsidR="009F3B2E">
        <w:rPr>
          <w:rFonts w:hint="cs"/>
          <w:b/>
          <w:bCs/>
          <w:color w:val="0E101A"/>
          <w:rtl/>
        </w:rPr>
        <w:t>2024</w:t>
      </w:r>
    </w:p>
    <w:p w:rsidR="0030140A" w:rsidRDefault="007E3419" w:rsidP="004E41A8">
      <w:pPr>
        <w:mirrorIndents/>
        <w:jc w:val="center"/>
        <w:rPr>
          <w:b/>
          <w:bCs/>
          <w:color w:val="0E101A"/>
        </w:rPr>
      </w:pPr>
      <w:r w:rsidRPr="0030140A">
        <w:rPr>
          <w:noProof/>
          <w:color w:val="000000"/>
          <w:lang w:val="en-GB" w:eastAsia="en-GB"/>
        </w:rPr>
        <w:drawing>
          <wp:inline distT="0" distB="0" distL="0" distR="0">
            <wp:extent cx="3162300" cy="20002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73AC" w:rsidRDefault="006673AC" w:rsidP="004E41A8">
      <w:pPr>
        <w:autoSpaceDE w:val="0"/>
        <w:autoSpaceDN w:val="0"/>
        <w:bidi w:val="0"/>
        <w:adjustRightInd w:val="0"/>
        <w:jc w:val="lowKashida"/>
        <w:rPr>
          <w:rtl/>
        </w:rPr>
      </w:pPr>
    </w:p>
    <w:p w:rsidR="00071354" w:rsidRDefault="00071354" w:rsidP="00F05E56">
      <w:pPr>
        <w:bidi w:val="0"/>
        <w:mirrorIndents/>
        <w:jc w:val="both"/>
        <w:rPr>
          <w:color w:val="0E101A"/>
        </w:rPr>
      </w:pPr>
      <w:r w:rsidRPr="00E1111C">
        <w:rPr>
          <w:color w:val="0E101A"/>
        </w:rPr>
        <w:t>Du</w:t>
      </w:r>
      <w:r w:rsidR="00447802" w:rsidRPr="00E1111C">
        <w:rPr>
          <w:color w:val="0E101A"/>
        </w:rPr>
        <w:t>ring 2024, maximum temperature</w:t>
      </w:r>
      <w:r w:rsidR="00B353C3">
        <w:rPr>
          <w:color w:val="0E101A"/>
        </w:rPr>
        <w:t>s</w:t>
      </w:r>
      <w:r w:rsidR="00447802" w:rsidRPr="00E1111C">
        <w:rPr>
          <w:color w:val="0E101A"/>
        </w:rPr>
        <w:t xml:space="preserve"> </w:t>
      </w:r>
      <w:r w:rsidR="00CC763F">
        <w:rPr>
          <w:color w:val="0E101A"/>
        </w:rPr>
        <w:t xml:space="preserve">varied </w:t>
      </w:r>
      <w:r w:rsidRPr="00E1111C">
        <w:rPr>
          <w:color w:val="0E101A"/>
        </w:rPr>
        <w:t>across West Bank stations</w:t>
      </w:r>
      <w:r w:rsidR="00F05E56">
        <w:rPr>
          <w:color w:val="0E101A"/>
        </w:rPr>
        <w:t>,</w:t>
      </w:r>
      <w:r w:rsidRPr="00E1111C">
        <w:rPr>
          <w:color w:val="0E101A"/>
        </w:rPr>
        <w:t xml:space="preserve"> </w:t>
      </w:r>
      <w:r w:rsidR="00F05E56" w:rsidRPr="002054FC">
        <w:rPr>
          <w:color w:val="0E101A"/>
        </w:rPr>
        <w:t>show</w:t>
      </w:r>
      <w:r w:rsidR="00F05E56">
        <w:rPr>
          <w:color w:val="0E101A"/>
        </w:rPr>
        <w:t>ing</w:t>
      </w:r>
      <w:r w:rsidR="00F05E56" w:rsidRPr="002054FC">
        <w:rPr>
          <w:color w:val="0E101A"/>
        </w:rPr>
        <w:t xml:space="preserve"> </w:t>
      </w:r>
      <w:r w:rsidRPr="002054FC">
        <w:rPr>
          <w:color w:val="0E101A"/>
        </w:rPr>
        <w:t xml:space="preserve">notable </w:t>
      </w:r>
      <w:r w:rsidR="00E4243B" w:rsidRPr="002054FC">
        <w:rPr>
          <w:color w:val="0E101A"/>
        </w:rPr>
        <w:t>variation,</w:t>
      </w:r>
      <w:r w:rsidRPr="00E1111C">
        <w:rPr>
          <w:color w:val="0E101A"/>
        </w:rPr>
        <w:t xml:space="preserve"> </w:t>
      </w:r>
      <w:r w:rsidR="00F05E56">
        <w:rPr>
          <w:color w:val="0E101A"/>
        </w:rPr>
        <w:t xml:space="preserve">where </w:t>
      </w:r>
      <w:r w:rsidRPr="00E1111C">
        <w:rPr>
          <w:color w:val="0E101A"/>
        </w:rPr>
        <w:t xml:space="preserve">Jenin </w:t>
      </w:r>
      <w:r w:rsidR="00F05E56">
        <w:rPr>
          <w:color w:val="0E101A"/>
        </w:rPr>
        <w:t>Station witnessed</w:t>
      </w:r>
      <w:r w:rsidRPr="00E1111C">
        <w:rPr>
          <w:color w:val="0E101A"/>
        </w:rPr>
        <w:t xml:space="preserve"> </w:t>
      </w:r>
      <w:r w:rsidRPr="002054FC">
        <w:rPr>
          <w:color w:val="0E101A"/>
        </w:rPr>
        <w:t xml:space="preserve">a temperature increase of approximately 0.7°C </w:t>
      </w:r>
      <w:r w:rsidRPr="00E1111C">
        <w:rPr>
          <w:color w:val="0E101A"/>
        </w:rPr>
        <w:t xml:space="preserve">higher than the mean average, while Jericho </w:t>
      </w:r>
      <w:r w:rsidR="00F05E56">
        <w:rPr>
          <w:color w:val="0E101A"/>
        </w:rPr>
        <w:t>S</w:t>
      </w:r>
      <w:r w:rsidR="00F05E56" w:rsidRPr="00E1111C">
        <w:rPr>
          <w:color w:val="0E101A"/>
        </w:rPr>
        <w:t xml:space="preserve">tation </w:t>
      </w:r>
      <w:r w:rsidR="00F05E56">
        <w:rPr>
          <w:color w:val="0E101A"/>
        </w:rPr>
        <w:t>recorded</w:t>
      </w:r>
      <w:r w:rsidR="00F05E56" w:rsidRPr="00E1111C">
        <w:rPr>
          <w:color w:val="0E101A"/>
        </w:rPr>
        <w:t xml:space="preserve"> </w:t>
      </w:r>
      <w:r w:rsidRPr="00E1111C">
        <w:rPr>
          <w:color w:val="0E101A"/>
        </w:rPr>
        <w:t>a difference of 2.9°C.</w:t>
      </w:r>
    </w:p>
    <w:p w:rsidR="00CC763F" w:rsidRPr="00880C10" w:rsidRDefault="00CC763F" w:rsidP="002054FC">
      <w:pPr>
        <w:ind w:left="-838" w:firstLine="990"/>
        <w:mirrorIndents/>
        <w:jc w:val="right"/>
        <w:rPr>
          <w:color w:val="0E101A"/>
        </w:rPr>
      </w:pPr>
    </w:p>
    <w:p w:rsidR="009F3B2E" w:rsidRDefault="009F3B2E" w:rsidP="00F05E56">
      <w:pPr>
        <w:mirrorIndents/>
        <w:jc w:val="center"/>
        <w:rPr>
          <w:b/>
          <w:bCs/>
          <w:color w:val="0E101A"/>
        </w:rPr>
        <w:sectPr w:rsidR="009F3B2E" w:rsidSect="009F3B2E">
          <w:footerReference w:type="default" r:id="rId9"/>
          <w:pgSz w:w="11906" w:h="16838" w:code="9"/>
          <w:pgMar w:top="720" w:right="864" w:bottom="720" w:left="900" w:header="706" w:footer="706" w:gutter="0"/>
          <w:cols w:space="1378"/>
          <w:rtlGutter/>
          <w:docGrid w:linePitch="360"/>
        </w:sectPr>
      </w:pPr>
    </w:p>
    <w:p w:rsidR="006673AC" w:rsidRDefault="0030140A" w:rsidP="009F3B2E">
      <w:pPr>
        <w:bidi w:val="0"/>
        <w:mirrorIndents/>
        <w:jc w:val="center"/>
        <w:rPr>
          <w:b/>
          <w:bCs/>
          <w:color w:val="0E101A"/>
        </w:rPr>
      </w:pPr>
      <w:r w:rsidRPr="00927FE9">
        <w:rPr>
          <w:b/>
          <w:bCs/>
          <w:color w:val="0E101A"/>
        </w:rPr>
        <w:t xml:space="preserve">Variations in </w:t>
      </w:r>
      <w:r>
        <w:rPr>
          <w:b/>
          <w:bCs/>
          <w:color w:val="0E101A"/>
        </w:rPr>
        <w:t>M</w:t>
      </w:r>
      <w:r w:rsidRPr="00927FE9">
        <w:rPr>
          <w:b/>
          <w:bCs/>
          <w:color w:val="0E101A"/>
        </w:rPr>
        <w:t xml:space="preserve">aximum </w:t>
      </w:r>
      <w:r>
        <w:rPr>
          <w:b/>
          <w:bCs/>
          <w:color w:val="0E101A"/>
        </w:rPr>
        <w:t>A</w:t>
      </w:r>
      <w:r w:rsidRPr="00927FE9">
        <w:rPr>
          <w:b/>
          <w:bCs/>
          <w:color w:val="0E101A"/>
        </w:rPr>
        <w:t xml:space="preserve">ir </w:t>
      </w:r>
      <w:r>
        <w:rPr>
          <w:b/>
          <w:bCs/>
          <w:color w:val="0E101A"/>
        </w:rPr>
        <w:t>T</w:t>
      </w:r>
      <w:r w:rsidRPr="00927FE9">
        <w:rPr>
          <w:b/>
          <w:bCs/>
          <w:color w:val="0E101A"/>
        </w:rPr>
        <w:t>emperature</w:t>
      </w:r>
      <w:r w:rsidR="00B353C3">
        <w:rPr>
          <w:b/>
          <w:bCs/>
          <w:color w:val="0E101A"/>
        </w:rPr>
        <w:t>s</w:t>
      </w:r>
      <w:r w:rsidRPr="00927FE9">
        <w:rPr>
          <w:b/>
          <w:bCs/>
          <w:color w:val="0E101A"/>
        </w:rPr>
        <w:t xml:space="preserve"> in 202</w:t>
      </w:r>
      <w:r>
        <w:rPr>
          <w:b/>
          <w:bCs/>
          <w:color w:val="0E101A"/>
        </w:rPr>
        <w:t>4</w:t>
      </w:r>
      <w:r w:rsidRPr="00927FE9">
        <w:rPr>
          <w:b/>
          <w:bCs/>
          <w:color w:val="0E101A"/>
        </w:rPr>
        <w:t xml:space="preserve"> (°C) from the </w:t>
      </w:r>
      <w:r w:rsidR="006673AC">
        <w:rPr>
          <w:b/>
          <w:bCs/>
          <w:color w:val="0E101A"/>
        </w:rPr>
        <w:t xml:space="preserve">Mean </w:t>
      </w:r>
      <w:r w:rsidR="00F05E56">
        <w:rPr>
          <w:b/>
          <w:bCs/>
          <w:color w:val="0E101A"/>
        </w:rPr>
        <w:t>A</w:t>
      </w:r>
      <w:r w:rsidR="00F05E56" w:rsidRPr="00927FE9">
        <w:rPr>
          <w:b/>
          <w:bCs/>
          <w:color w:val="0E101A"/>
        </w:rPr>
        <w:t xml:space="preserve">verage </w:t>
      </w:r>
      <w:r w:rsidRPr="00927FE9">
        <w:rPr>
          <w:b/>
          <w:bCs/>
          <w:color w:val="0E101A"/>
        </w:rPr>
        <w:t xml:space="preserve">at West Bank </w:t>
      </w:r>
      <w:r>
        <w:rPr>
          <w:b/>
          <w:bCs/>
          <w:color w:val="0E101A"/>
        </w:rPr>
        <w:t>S</w:t>
      </w:r>
      <w:r w:rsidRPr="00927FE9">
        <w:rPr>
          <w:b/>
          <w:bCs/>
          <w:color w:val="0E101A"/>
        </w:rPr>
        <w:t>tations.</w:t>
      </w:r>
    </w:p>
    <w:p w:rsidR="0030140A" w:rsidRPr="00E4243B" w:rsidRDefault="007E3419" w:rsidP="009F3B2E">
      <w:pPr>
        <w:ind w:right="270"/>
        <w:mirrorIndents/>
        <w:jc w:val="center"/>
        <w:rPr>
          <w:b/>
          <w:bCs/>
          <w:color w:val="0E101A"/>
        </w:rPr>
      </w:pPr>
      <w:r w:rsidRPr="0030140A">
        <w:rPr>
          <w:noProof/>
          <w:color w:val="000000"/>
          <w:lang w:val="en-GB" w:eastAsia="en-GB"/>
        </w:rPr>
        <w:drawing>
          <wp:inline distT="0" distB="0" distL="0" distR="0">
            <wp:extent cx="2867025" cy="19431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3B2E" w:rsidRDefault="009F3B2E" w:rsidP="00F05E56">
      <w:pPr>
        <w:bidi w:val="0"/>
        <w:mirrorIndents/>
        <w:jc w:val="both"/>
        <w:rPr>
          <w:color w:val="0E101A"/>
        </w:rPr>
        <w:sectPr w:rsidR="009F3B2E" w:rsidSect="009F3B2E">
          <w:type w:val="continuous"/>
          <w:pgSz w:w="11906" w:h="16838" w:code="9"/>
          <w:pgMar w:top="720" w:right="864" w:bottom="720" w:left="900" w:header="706" w:footer="706" w:gutter="0"/>
          <w:cols w:space="1378"/>
          <w:rtlGutter/>
          <w:docGrid w:linePitch="360"/>
        </w:sectPr>
      </w:pPr>
    </w:p>
    <w:p w:rsidR="0030140A" w:rsidRDefault="0030140A" w:rsidP="00F05E56">
      <w:pPr>
        <w:bidi w:val="0"/>
        <w:mirrorIndents/>
        <w:jc w:val="both"/>
        <w:rPr>
          <w:color w:val="0E101A"/>
          <w:rtl/>
        </w:rPr>
      </w:pPr>
      <w:r w:rsidRPr="00927FE9">
        <w:rPr>
          <w:color w:val="0E101A"/>
        </w:rPr>
        <w:t>During 20</w:t>
      </w:r>
      <w:r>
        <w:rPr>
          <w:color w:val="0E101A"/>
        </w:rPr>
        <w:t>24</w:t>
      </w:r>
      <w:r w:rsidRPr="00927FE9">
        <w:rPr>
          <w:color w:val="0E101A"/>
        </w:rPr>
        <w:t xml:space="preserve">, minimum temperatures in Ramallah and Al-Bireh </w:t>
      </w:r>
      <w:r w:rsidR="00F05E56">
        <w:rPr>
          <w:color w:val="0E101A"/>
        </w:rPr>
        <w:t>S</w:t>
      </w:r>
      <w:r w:rsidR="00F05E56" w:rsidRPr="00927FE9">
        <w:rPr>
          <w:color w:val="0E101A"/>
        </w:rPr>
        <w:t xml:space="preserve">tation </w:t>
      </w:r>
      <w:r w:rsidRPr="00927FE9">
        <w:rPr>
          <w:color w:val="0E101A"/>
        </w:rPr>
        <w:t xml:space="preserve">were higher than the </w:t>
      </w:r>
      <w:r>
        <w:rPr>
          <w:color w:val="0E101A"/>
        </w:rPr>
        <w:t xml:space="preserve">mean </w:t>
      </w:r>
      <w:r w:rsidRPr="00927FE9">
        <w:rPr>
          <w:color w:val="0E101A"/>
        </w:rPr>
        <w:t xml:space="preserve">average by around </w:t>
      </w:r>
      <w:r>
        <w:rPr>
          <w:color w:val="0E101A"/>
        </w:rPr>
        <w:t>1.0</w:t>
      </w:r>
      <w:r w:rsidRPr="00927FE9">
        <w:rPr>
          <w:color w:val="0E101A"/>
        </w:rPr>
        <w:t xml:space="preserve"> °C, while in Jericho </w:t>
      </w:r>
      <w:r w:rsidR="00F05E56">
        <w:rPr>
          <w:color w:val="0E101A"/>
        </w:rPr>
        <w:t>S</w:t>
      </w:r>
      <w:r w:rsidR="00F05E56" w:rsidRPr="00927FE9">
        <w:rPr>
          <w:color w:val="0E101A"/>
        </w:rPr>
        <w:t>tation</w:t>
      </w:r>
      <w:r w:rsidRPr="00927FE9">
        <w:rPr>
          <w:color w:val="0E101A"/>
        </w:rPr>
        <w:t>, they were higher by 5.</w:t>
      </w:r>
      <w:r>
        <w:rPr>
          <w:color w:val="0E101A"/>
        </w:rPr>
        <w:t>6</w:t>
      </w:r>
      <w:r w:rsidRPr="00927FE9">
        <w:rPr>
          <w:color w:val="0E101A"/>
        </w:rPr>
        <w:t xml:space="preserve"> °C.</w:t>
      </w: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Default="009F3B2E" w:rsidP="009F3B2E">
      <w:pPr>
        <w:bidi w:val="0"/>
        <w:mirrorIndents/>
        <w:jc w:val="both"/>
        <w:rPr>
          <w:color w:val="0E101A"/>
          <w:rtl/>
        </w:rPr>
      </w:pPr>
    </w:p>
    <w:p w:rsidR="009F3B2E" w:rsidRPr="00E4243B" w:rsidRDefault="009F3B2E" w:rsidP="009F3B2E">
      <w:pPr>
        <w:bidi w:val="0"/>
        <w:ind w:left="360" w:right="49" w:hanging="360"/>
        <w:mirrorIndents/>
        <w:rPr>
          <w:b/>
          <w:bCs/>
          <w:color w:val="0E101A"/>
        </w:rPr>
      </w:pPr>
      <w:r>
        <w:rPr>
          <w:b/>
          <w:bCs/>
          <w:color w:val="0E101A"/>
        </w:rPr>
        <w:t xml:space="preserve">     </w:t>
      </w:r>
      <w:r w:rsidRPr="00927FE9">
        <w:rPr>
          <w:b/>
          <w:bCs/>
          <w:color w:val="0E101A"/>
        </w:rPr>
        <w:t xml:space="preserve">Variations in </w:t>
      </w:r>
      <w:r>
        <w:rPr>
          <w:b/>
          <w:bCs/>
          <w:color w:val="0E101A"/>
        </w:rPr>
        <w:t>M</w:t>
      </w:r>
      <w:r w:rsidRPr="00927FE9">
        <w:rPr>
          <w:b/>
          <w:bCs/>
          <w:color w:val="0E101A"/>
        </w:rPr>
        <w:t xml:space="preserve">inimum </w:t>
      </w:r>
      <w:r>
        <w:rPr>
          <w:b/>
          <w:bCs/>
          <w:color w:val="0E101A"/>
        </w:rPr>
        <w:t>A</w:t>
      </w:r>
      <w:r w:rsidRPr="00927FE9">
        <w:rPr>
          <w:b/>
          <w:bCs/>
          <w:color w:val="0E101A"/>
        </w:rPr>
        <w:t xml:space="preserve">ir </w:t>
      </w:r>
      <w:r>
        <w:rPr>
          <w:b/>
          <w:bCs/>
          <w:color w:val="0E101A"/>
        </w:rPr>
        <w:t>T</w:t>
      </w:r>
      <w:r w:rsidRPr="00927FE9">
        <w:rPr>
          <w:b/>
          <w:bCs/>
          <w:color w:val="0E101A"/>
        </w:rPr>
        <w:t>emperature</w:t>
      </w:r>
      <w:r>
        <w:rPr>
          <w:b/>
          <w:bCs/>
          <w:color w:val="0E101A"/>
        </w:rPr>
        <w:t>s</w:t>
      </w:r>
      <w:r w:rsidRPr="00927FE9">
        <w:rPr>
          <w:b/>
          <w:bCs/>
          <w:color w:val="0E101A"/>
        </w:rPr>
        <w:t xml:space="preserve"> </w:t>
      </w:r>
      <w:r>
        <w:rPr>
          <w:b/>
          <w:bCs/>
          <w:color w:val="0E101A"/>
        </w:rPr>
        <w:t>Compared</w:t>
      </w:r>
      <w:r w:rsidRPr="00927FE9">
        <w:rPr>
          <w:b/>
          <w:bCs/>
          <w:color w:val="0E101A"/>
        </w:rPr>
        <w:t xml:space="preserve"> to </w:t>
      </w:r>
      <w:r>
        <w:rPr>
          <w:b/>
          <w:bCs/>
          <w:color w:val="0E101A"/>
        </w:rPr>
        <w:t>Mean</w:t>
      </w:r>
      <w:r w:rsidRPr="00927FE9">
        <w:rPr>
          <w:b/>
          <w:bCs/>
          <w:color w:val="0E101A"/>
        </w:rPr>
        <w:t xml:space="preserve"> </w:t>
      </w:r>
      <w:r>
        <w:rPr>
          <w:b/>
          <w:bCs/>
          <w:color w:val="0E101A"/>
        </w:rPr>
        <w:t>A</w:t>
      </w:r>
      <w:r w:rsidRPr="00927FE9">
        <w:rPr>
          <w:b/>
          <w:bCs/>
          <w:color w:val="0E101A"/>
        </w:rPr>
        <w:t xml:space="preserve">verages in </w:t>
      </w:r>
      <w:r>
        <w:rPr>
          <w:b/>
          <w:bCs/>
          <w:color w:val="0E101A"/>
        </w:rPr>
        <w:t>S</w:t>
      </w:r>
      <w:r w:rsidRPr="00927FE9">
        <w:rPr>
          <w:b/>
          <w:bCs/>
          <w:color w:val="0E101A"/>
        </w:rPr>
        <w:t>elect</w:t>
      </w:r>
      <w:r>
        <w:rPr>
          <w:b/>
          <w:bCs/>
          <w:color w:val="0E101A"/>
        </w:rPr>
        <w:t>ed</w:t>
      </w:r>
      <w:r w:rsidRPr="00927FE9">
        <w:rPr>
          <w:b/>
          <w:bCs/>
          <w:color w:val="0E101A"/>
        </w:rPr>
        <w:t xml:space="preserve"> West Bank </w:t>
      </w:r>
      <w:r>
        <w:rPr>
          <w:b/>
          <w:bCs/>
          <w:color w:val="0E101A"/>
        </w:rPr>
        <w:t>S</w:t>
      </w:r>
      <w:r w:rsidRPr="00927FE9">
        <w:rPr>
          <w:b/>
          <w:bCs/>
          <w:color w:val="0E101A"/>
        </w:rPr>
        <w:t>tations in 202</w:t>
      </w:r>
      <w:r>
        <w:rPr>
          <w:b/>
          <w:bCs/>
          <w:color w:val="0E101A"/>
        </w:rPr>
        <w:t>4</w:t>
      </w:r>
      <w:r w:rsidRPr="00927FE9">
        <w:rPr>
          <w:b/>
          <w:bCs/>
          <w:color w:val="0E101A"/>
        </w:rPr>
        <w:t>.</w:t>
      </w:r>
    </w:p>
    <w:p w:rsidR="009F3B2E" w:rsidRDefault="009F3B2E" w:rsidP="009F3B2E">
      <w:pPr>
        <w:bidi w:val="0"/>
        <w:mirrorIndents/>
        <w:jc w:val="both"/>
        <w:rPr>
          <w:color w:val="0E101A"/>
          <w:rtl/>
        </w:rPr>
      </w:pPr>
    </w:p>
    <w:p w:rsidR="009F3B2E" w:rsidRDefault="007E3419" w:rsidP="009F3B2E">
      <w:pPr>
        <w:bidi w:val="0"/>
        <w:mirrorIndents/>
        <w:jc w:val="center"/>
        <w:rPr>
          <w:rtl/>
        </w:rPr>
      </w:pPr>
      <w:r w:rsidRPr="0030140A">
        <w:rPr>
          <w:noProof/>
          <w:color w:val="000000"/>
          <w:lang w:val="en-GB" w:eastAsia="en-GB"/>
        </w:rPr>
        <w:drawing>
          <wp:inline distT="0" distB="0" distL="0" distR="0">
            <wp:extent cx="3371850" cy="15811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3B2E" w:rsidRDefault="009F3B2E" w:rsidP="009F3B2E">
      <w:pPr>
        <w:bidi w:val="0"/>
        <w:ind w:left="78" w:right="49" w:hanging="78"/>
        <w:mirrorIndents/>
        <w:jc w:val="both"/>
        <w:rPr>
          <w:b/>
          <w:bCs/>
          <w:color w:val="0E101A"/>
          <w:rtl/>
        </w:rPr>
      </w:pPr>
    </w:p>
    <w:p w:rsidR="009F3B2E" w:rsidRDefault="009F3B2E" w:rsidP="009F3B2E">
      <w:pPr>
        <w:bidi w:val="0"/>
        <w:ind w:left="78" w:right="49" w:hanging="78"/>
        <w:mirrorIndents/>
        <w:jc w:val="both"/>
        <w:rPr>
          <w:color w:val="0E101A"/>
        </w:rPr>
      </w:pPr>
      <w:r w:rsidRPr="00F84131">
        <w:rPr>
          <w:b/>
          <w:bCs/>
          <w:color w:val="0E101A"/>
        </w:rPr>
        <w:t>The highest average hours of sunlight</w:t>
      </w:r>
      <w:r w:rsidRPr="00F84131">
        <w:rPr>
          <w:rFonts w:hint="cs"/>
          <w:b/>
          <w:bCs/>
          <w:color w:val="0E101A"/>
          <w:rtl/>
        </w:rPr>
        <w:t xml:space="preserve"> </w:t>
      </w:r>
      <w:r w:rsidRPr="00F84131">
        <w:rPr>
          <w:b/>
          <w:bCs/>
          <w:color w:val="0E101A"/>
        </w:rPr>
        <w:t>during 202</w:t>
      </w:r>
      <w:r>
        <w:rPr>
          <w:b/>
          <w:bCs/>
          <w:color w:val="0E101A"/>
        </w:rPr>
        <w:t>4</w:t>
      </w:r>
      <w:r w:rsidRPr="00F84131">
        <w:rPr>
          <w:b/>
          <w:bCs/>
          <w:color w:val="0E101A"/>
        </w:rPr>
        <w:t xml:space="preserve"> was in Jericho Station</w:t>
      </w:r>
      <w:r w:rsidRPr="00927FE9">
        <w:rPr>
          <w:color w:val="0E101A"/>
        </w:rPr>
        <w:t xml:space="preserve"> </w:t>
      </w:r>
    </w:p>
    <w:p w:rsidR="009F3B2E" w:rsidRDefault="009F3B2E" w:rsidP="009F3B2E">
      <w:pPr>
        <w:bidi w:val="0"/>
        <w:mirrorIndents/>
        <w:jc w:val="both"/>
        <w:rPr>
          <w:rtl/>
        </w:rPr>
      </w:pPr>
      <w:r w:rsidRPr="00927FE9">
        <w:rPr>
          <w:color w:val="0E101A"/>
        </w:rPr>
        <w:t>In 20</w:t>
      </w:r>
      <w:r>
        <w:rPr>
          <w:color w:val="0E101A"/>
        </w:rPr>
        <w:t>24</w:t>
      </w:r>
      <w:r w:rsidRPr="00927FE9">
        <w:rPr>
          <w:color w:val="0E101A"/>
        </w:rPr>
        <w:t>, Jericho Station experienced the highest average hours of sunlight, with 8.</w:t>
      </w:r>
      <w:r>
        <w:rPr>
          <w:color w:val="0E101A"/>
        </w:rPr>
        <w:t>8</w:t>
      </w:r>
      <w:r w:rsidRPr="00927FE9">
        <w:rPr>
          <w:color w:val="0E101A"/>
        </w:rPr>
        <w:t xml:space="preserve"> hours per day. On the other hand</w:t>
      </w:r>
      <w:r>
        <w:rPr>
          <w:color w:val="0E101A"/>
        </w:rPr>
        <w:t>,</w:t>
      </w:r>
      <w:r w:rsidRPr="00927FE9" w:rsidDel="00B353C3">
        <w:rPr>
          <w:color w:val="0E101A"/>
        </w:rPr>
        <w:t xml:space="preserve"> </w:t>
      </w:r>
      <w:r w:rsidRPr="00927FE9">
        <w:rPr>
          <w:color w:val="0E101A"/>
        </w:rPr>
        <w:t>Ramallah and Al-Bireh Station had the minimum average hours of sunlight with only 8.</w:t>
      </w:r>
      <w:r>
        <w:rPr>
          <w:color w:val="0E101A"/>
        </w:rPr>
        <w:t>6</w:t>
      </w:r>
      <w:r w:rsidRPr="00927FE9">
        <w:rPr>
          <w:color w:val="0E101A"/>
        </w:rPr>
        <w:t xml:space="preserve"> hours per day.</w:t>
      </w:r>
    </w:p>
    <w:p w:rsidR="009F3B2E" w:rsidRDefault="009F3B2E" w:rsidP="009F3B2E">
      <w:pPr>
        <w:bidi w:val="0"/>
        <w:mirrorIndents/>
        <w:jc w:val="both"/>
        <w:rPr>
          <w:color w:val="0E101A"/>
        </w:rPr>
      </w:pPr>
    </w:p>
    <w:p w:rsidR="00EB23FD" w:rsidRPr="00BA4701" w:rsidRDefault="00EB23FD" w:rsidP="004E41A8">
      <w:pPr>
        <w:autoSpaceDE w:val="0"/>
        <w:autoSpaceDN w:val="0"/>
        <w:bidi w:val="0"/>
        <w:adjustRightInd w:val="0"/>
        <w:jc w:val="lowKashida"/>
        <w:rPr>
          <w:b/>
          <w:bCs/>
          <w:color w:val="000000"/>
          <w:sz w:val="6"/>
          <w:szCs w:val="6"/>
          <w:lang w:eastAsia="en-US"/>
        </w:rPr>
      </w:pPr>
    </w:p>
    <w:sectPr w:rsidR="00EB23FD" w:rsidRPr="00BA4701" w:rsidSect="009F3B2E">
      <w:type w:val="continuous"/>
      <w:pgSz w:w="11906" w:h="16838" w:code="9"/>
      <w:pgMar w:top="720" w:right="864" w:bottom="720" w:left="900" w:header="706" w:footer="706" w:gutter="0"/>
      <w:cols w:space="137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45" w:rsidRDefault="00307D45" w:rsidP="00C51517">
      <w:r>
        <w:separator/>
      </w:r>
    </w:p>
  </w:endnote>
  <w:endnote w:type="continuationSeparator" w:id="0">
    <w:p w:rsidR="00307D45" w:rsidRDefault="00307D45" w:rsidP="00C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2E" w:rsidRDefault="009F3B2E">
    <w:pPr>
      <w:pStyle w:val="Footer"/>
      <w:jc w:val="center"/>
    </w:pPr>
    <w:r>
      <w:fldChar w:fldCharType="begin"/>
    </w:r>
    <w:r>
      <w:instrText xml:space="preserve"> PAGE   \* MERGEFORMAT </w:instrText>
    </w:r>
    <w:r>
      <w:fldChar w:fldCharType="separate"/>
    </w:r>
    <w:r w:rsidR="007E3419">
      <w:rPr>
        <w:noProof/>
        <w:rtl/>
      </w:rPr>
      <w:t>1</w:t>
    </w:r>
    <w:r>
      <w:rPr>
        <w:noProof/>
      </w:rPr>
      <w:fldChar w:fldCharType="end"/>
    </w:r>
  </w:p>
  <w:p w:rsidR="009F3B2E" w:rsidRDefault="009F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45" w:rsidRDefault="00307D45" w:rsidP="00C51517">
      <w:r>
        <w:separator/>
      </w:r>
    </w:p>
  </w:footnote>
  <w:footnote w:type="continuationSeparator" w:id="0">
    <w:p w:rsidR="00307D45" w:rsidRDefault="00307D45" w:rsidP="00C5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7B7A"/>
    <w:multiLevelType w:val="multilevel"/>
    <w:tmpl w:val="7576CEF6"/>
    <w:lvl w:ilvl="0">
      <w:start w:val="7"/>
      <w:numFmt w:val="decimal"/>
      <w:lvlText w:val="%1"/>
      <w:lvlJc w:val="left"/>
      <w:pPr>
        <w:tabs>
          <w:tab w:val="num" w:pos="510"/>
        </w:tabs>
        <w:ind w:left="510" w:right="510" w:hanging="510"/>
      </w:pPr>
      <w:rPr>
        <w:rFonts w:hint="default"/>
        <w:sz w:val="28"/>
      </w:rPr>
    </w:lvl>
    <w:lvl w:ilvl="1">
      <w:start w:val="3"/>
      <w:numFmt w:val="decimal"/>
      <w:lvlText w:val="%1.%2"/>
      <w:lvlJc w:val="left"/>
      <w:pPr>
        <w:tabs>
          <w:tab w:val="num" w:pos="206"/>
        </w:tabs>
        <w:ind w:left="206" w:right="206" w:hanging="720"/>
      </w:pPr>
      <w:rPr>
        <w:rFonts w:hint="default"/>
        <w:sz w:val="28"/>
      </w:rPr>
    </w:lvl>
    <w:lvl w:ilvl="2">
      <w:start w:val="1"/>
      <w:numFmt w:val="decimal"/>
      <w:lvlText w:val="%1.%2.%3"/>
      <w:lvlJc w:val="left"/>
      <w:pPr>
        <w:tabs>
          <w:tab w:val="num" w:pos="-308"/>
        </w:tabs>
        <w:ind w:left="-308" w:right="-308" w:hanging="720"/>
      </w:pPr>
      <w:rPr>
        <w:rFonts w:hint="default"/>
        <w:sz w:val="28"/>
      </w:rPr>
    </w:lvl>
    <w:lvl w:ilvl="3">
      <w:start w:val="1"/>
      <w:numFmt w:val="decimal"/>
      <w:lvlText w:val="%1.%2.%3.%4"/>
      <w:lvlJc w:val="left"/>
      <w:pPr>
        <w:tabs>
          <w:tab w:val="num" w:pos="-462"/>
        </w:tabs>
        <w:ind w:left="-462" w:right="-462" w:hanging="1080"/>
      </w:pPr>
      <w:rPr>
        <w:rFonts w:hint="default"/>
        <w:sz w:val="28"/>
      </w:rPr>
    </w:lvl>
    <w:lvl w:ilvl="4">
      <w:start w:val="1"/>
      <w:numFmt w:val="decimal"/>
      <w:lvlText w:val="%1.%2.%3.%4.%5"/>
      <w:lvlJc w:val="left"/>
      <w:pPr>
        <w:tabs>
          <w:tab w:val="num" w:pos="-976"/>
        </w:tabs>
        <w:ind w:left="-976" w:right="-976" w:hanging="1080"/>
      </w:pPr>
      <w:rPr>
        <w:rFonts w:hint="default"/>
        <w:sz w:val="28"/>
      </w:rPr>
    </w:lvl>
    <w:lvl w:ilvl="5">
      <w:start w:val="1"/>
      <w:numFmt w:val="decimal"/>
      <w:lvlText w:val="%1.%2.%3.%4.%5.%6"/>
      <w:lvlJc w:val="left"/>
      <w:pPr>
        <w:tabs>
          <w:tab w:val="num" w:pos="-1130"/>
        </w:tabs>
        <w:ind w:left="-1130" w:right="-1130" w:hanging="1440"/>
      </w:pPr>
      <w:rPr>
        <w:rFonts w:hint="default"/>
        <w:sz w:val="28"/>
      </w:rPr>
    </w:lvl>
    <w:lvl w:ilvl="6">
      <w:start w:val="1"/>
      <w:numFmt w:val="decimal"/>
      <w:lvlText w:val="%1.%2.%3.%4.%5.%6.%7"/>
      <w:lvlJc w:val="left"/>
      <w:pPr>
        <w:tabs>
          <w:tab w:val="num" w:pos="-1284"/>
        </w:tabs>
        <w:ind w:left="-1284" w:right="-1284" w:hanging="1800"/>
      </w:pPr>
      <w:rPr>
        <w:rFonts w:hint="default"/>
        <w:sz w:val="28"/>
      </w:rPr>
    </w:lvl>
    <w:lvl w:ilvl="7">
      <w:start w:val="1"/>
      <w:numFmt w:val="decimal"/>
      <w:lvlText w:val="%1.%2.%3.%4.%5.%6.%7.%8"/>
      <w:lvlJc w:val="left"/>
      <w:pPr>
        <w:tabs>
          <w:tab w:val="num" w:pos="-1798"/>
        </w:tabs>
        <w:ind w:left="-1798" w:right="-1798" w:hanging="1800"/>
      </w:pPr>
      <w:rPr>
        <w:rFonts w:hint="default"/>
        <w:sz w:val="28"/>
      </w:rPr>
    </w:lvl>
    <w:lvl w:ilvl="8">
      <w:start w:val="1"/>
      <w:numFmt w:val="decimal"/>
      <w:lvlText w:val="%1.%2.%3.%4.%5.%6.%7.%8.%9"/>
      <w:lvlJc w:val="left"/>
      <w:pPr>
        <w:tabs>
          <w:tab w:val="num" w:pos="-1952"/>
        </w:tabs>
        <w:ind w:left="-1952" w:right="-1952" w:hanging="21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ar-JO" w:vendorID="64" w:dllVersion="131078" w:nlCheck="1" w:checkStyle="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A0"/>
    <w:rsid w:val="0000076A"/>
    <w:rsid w:val="00001A68"/>
    <w:rsid w:val="0000248C"/>
    <w:rsid w:val="00002720"/>
    <w:rsid w:val="00002BB5"/>
    <w:rsid w:val="00002D3B"/>
    <w:rsid w:val="00003CD4"/>
    <w:rsid w:val="00004BC2"/>
    <w:rsid w:val="00015598"/>
    <w:rsid w:val="00017B65"/>
    <w:rsid w:val="00020358"/>
    <w:rsid w:val="00022EFB"/>
    <w:rsid w:val="00022F2C"/>
    <w:rsid w:val="00024C39"/>
    <w:rsid w:val="00027DDA"/>
    <w:rsid w:val="0003161C"/>
    <w:rsid w:val="0003531A"/>
    <w:rsid w:val="00036F98"/>
    <w:rsid w:val="0004273A"/>
    <w:rsid w:val="0005243A"/>
    <w:rsid w:val="00053228"/>
    <w:rsid w:val="000543BA"/>
    <w:rsid w:val="00055AA4"/>
    <w:rsid w:val="00055DD8"/>
    <w:rsid w:val="0005650C"/>
    <w:rsid w:val="00056A10"/>
    <w:rsid w:val="00064E81"/>
    <w:rsid w:val="00064F45"/>
    <w:rsid w:val="00071354"/>
    <w:rsid w:val="000719A2"/>
    <w:rsid w:val="00072431"/>
    <w:rsid w:val="00081972"/>
    <w:rsid w:val="00084436"/>
    <w:rsid w:val="00084B5D"/>
    <w:rsid w:val="00097CA7"/>
    <w:rsid w:val="000A029A"/>
    <w:rsid w:val="000A1996"/>
    <w:rsid w:val="000A7D92"/>
    <w:rsid w:val="000B1F4A"/>
    <w:rsid w:val="000B32A4"/>
    <w:rsid w:val="000B48BB"/>
    <w:rsid w:val="000B6C18"/>
    <w:rsid w:val="000B7C31"/>
    <w:rsid w:val="000C02FA"/>
    <w:rsid w:val="000C0544"/>
    <w:rsid w:val="000C7139"/>
    <w:rsid w:val="000D080A"/>
    <w:rsid w:val="000D3677"/>
    <w:rsid w:val="000D45B4"/>
    <w:rsid w:val="000E3BD9"/>
    <w:rsid w:val="000E5127"/>
    <w:rsid w:val="000F180A"/>
    <w:rsid w:val="000F36A8"/>
    <w:rsid w:val="00103320"/>
    <w:rsid w:val="00103B97"/>
    <w:rsid w:val="00104ED7"/>
    <w:rsid w:val="0010798B"/>
    <w:rsid w:val="001106CD"/>
    <w:rsid w:val="001122BA"/>
    <w:rsid w:val="00112362"/>
    <w:rsid w:val="00112940"/>
    <w:rsid w:val="001134C2"/>
    <w:rsid w:val="00116168"/>
    <w:rsid w:val="001163A5"/>
    <w:rsid w:val="00116D57"/>
    <w:rsid w:val="0011773E"/>
    <w:rsid w:val="00121162"/>
    <w:rsid w:val="00122738"/>
    <w:rsid w:val="00130E10"/>
    <w:rsid w:val="00132D2A"/>
    <w:rsid w:val="00134F26"/>
    <w:rsid w:val="00135CC4"/>
    <w:rsid w:val="00142172"/>
    <w:rsid w:val="00144354"/>
    <w:rsid w:val="00144D71"/>
    <w:rsid w:val="001525DA"/>
    <w:rsid w:val="00153EEF"/>
    <w:rsid w:val="00153FCE"/>
    <w:rsid w:val="00165437"/>
    <w:rsid w:val="00171DAD"/>
    <w:rsid w:val="00171E79"/>
    <w:rsid w:val="001732A2"/>
    <w:rsid w:val="00180E63"/>
    <w:rsid w:val="001877B9"/>
    <w:rsid w:val="00197485"/>
    <w:rsid w:val="001A27B3"/>
    <w:rsid w:val="001A2C6C"/>
    <w:rsid w:val="001A50FB"/>
    <w:rsid w:val="001B02DA"/>
    <w:rsid w:val="001B2E89"/>
    <w:rsid w:val="001B4BDD"/>
    <w:rsid w:val="001B670E"/>
    <w:rsid w:val="001B70E7"/>
    <w:rsid w:val="001C1066"/>
    <w:rsid w:val="001C2D12"/>
    <w:rsid w:val="001C37F1"/>
    <w:rsid w:val="001C47A6"/>
    <w:rsid w:val="001C4810"/>
    <w:rsid w:val="001C4FE1"/>
    <w:rsid w:val="001D3E0C"/>
    <w:rsid w:val="001D477F"/>
    <w:rsid w:val="001E4765"/>
    <w:rsid w:val="001E4DD6"/>
    <w:rsid w:val="001F31A5"/>
    <w:rsid w:val="001F38E3"/>
    <w:rsid w:val="001F5ADC"/>
    <w:rsid w:val="002004A4"/>
    <w:rsid w:val="00201FD8"/>
    <w:rsid w:val="002054FC"/>
    <w:rsid w:val="00210312"/>
    <w:rsid w:val="00213213"/>
    <w:rsid w:val="00215FA1"/>
    <w:rsid w:val="002167D5"/>
    <w:rsid w:val="002179B8"/>
    <w:rsid w:val="00217B49"/>
    <w:rsid w:val="0022554E"/>
    <w:rsid w:val="002312FB"/>
    <w:rsid w:val="00237002"/>
    <w:rsid w:val="00240A4C"/>
    <w:rsid w:val="00242296"/>
    <w:rsid w:val="00247BF3"/>
    <w:rsid w:val="00250658"/>
    <w:rsid w:val="002547F6"/>
    <w:rsid w:val="00261256"/>
    <w:rsid w:val="00267204"/>
    <w:rsid w:val="002765FE"/>
    <w:rsid w:val="002804AB"/>
    <w:rsid w:val="00286BE2"/>
    <w:rsid w:val="002912C6"/>
    <w:rsid w:val="00291CDC"/>
    <w:rsid w:val="002946F9"/>
    <w:rsid w:val="00295EAD"/>
    <w:rsid w:val="002A3821"/>
    <w:rsid w:val="002A3DA5"/>
    <w:rsid w:val="002A47B8"/>
    <w:rsid w:val="002A6586"/>
    <w:rsid w:val="002B0642"/>
    <w:rsid w:val="002B0C16"/>
    <w:rsid w:val="002B10D5"/>
    <w:rsid w:val="002B2765"/>
    <w:rsid w:val="002B3808"/>
    <w:rsid w:val="002B779A"/>
    <w:rsid w:val="002C2454"/>
    <w:rsid w:val="002C329A"/>
    <w:rsid w:val="002C4F55"/>
    <w:rsid w:val="002C69B4"/>
    <w:rsid w:val="002D3B83"/>
    <w:rsid w:val="002E122C"/>
    <w:rsid w:val="002E1EDB"/>
    <w:rsid w:val="002E200E"/>
    <w:rsid w:val="002E3F03"/>
    <w:rsid w:val="002E5E3D"/>
    <w:rsid w:val="002F2C67"/>
    <w:rsid w:val="002F42C5"/>
    <w:rsid w:val="002F4C8E"/>
    <w:rsid w:val="002F553C"/>
    <w:rsid w:val="0030140A"/>
    <w:rsid w:val="00307D45"/>
    <w:rsid w:val="003100AC"/>
    <w:rsid w:val="003108EE"/>
    <w:rsid w:val="00310CA0"/>
    <w:rsid w:val="0031179E"/>
    <w:rsid w:val="0031212C"/>
    <w:rsid w:val="00314610"/>
    <w:rsid w:val="003211AE"/>
    <w:rsid w:val="003224F6"/>
    <w:rsid w:val="00326BE8"/>
    <w:rsid w:val="00335510"/>
    <w:rsid w:val="003355E3"/>
    <w:rsid w:val="00341EE7"/>
    <w:rsid w:val="00343AF8"/>
    <w:rsid w:val="00346B2C"/>
    <w:rsid w:val="00347D54"/>
    <w:rsid w:val="00352BAC"/>
    <w:rsid w:val="003567C1"/>
    <w:rsid w:val="00356C6F"/>
    <w:rsid w:val="00362EAB"/>
    <w:rsid w:val="00363912"/>
    <w:rsid w:val="0036799D"/>
    <w:rsid w:val="0037239F"/>
    <w:rsid w:val="0037431E"/>
    <w:rsid w:val="00375F5D"/>
    <w:rsid w:val="00377C8E"/>
    <w:rsid w:val="00381147"/>
    <w:rsid w:val="00382C4E"/>
    <w:rsid w:val="00383CB0"/>
    <w:rsid w:val="00391863"/>
    <w:rsid w:val="003A1680"/>
    <w:rsid w:val="003A19E8"/>
    <w:rsid w:val="003A24E3"/>
    <w:rsid w:val="003B040A"/>
    <w:rsid w:val="003B3542"/>
    <w:rsid w:val="003C2794"/>
    <w:rsid w:val="003D1A05"/>
    <w:rsid w:val="003D1A92"/>
    <w:rsid w:val="003D2AA2"/>
    <w:rsid w:val="003D3B01"/>
    <w:rsid w:val="003E0C81"/>
    <w:rsid w:val="003E0E1D"/>
    <w:rsid w:val="003E342D"/>
    <w:rsid w:val="003E6DFD"/>
    <w:rsid w:val="003F11CE"/>
    <w:rsid w:val="003F17F2"/>
    <w:rsid w:val="003F3ADD"/>
    <w:rsid w:val="003F775F"/>
    <w:rsid w:val="00400B83"/>
    <w:rsid w:val="00401571"/>
    <w:rsid w:val="00405956"/>
    <w:rsid w:val="004073AB"/>
    <w:rsid w:val="004117B1"/>
    <w:rsid w:val="00413CEA"/>
    <w:rsid w:val="004168B7"/>
    <w:rsid w:val="004216FB"/>
    <w:rsid w:val="00421FF6"/>
    <w:rsid w:val="00422990"/>
    <w:rsid w:val="00423085"/>
    <w:rsid w:val="00425B81"/>
    <w:rsid w:val="004364C4"/>
    <w:rsid w:val="00436CD0"/>
    <w:rsid w:val="004377CC"/>
    <w:rsid w:val="0044659F"/>
    <w:rsid w:val="00447802"/>
    <w:rsid w:val="004511FB"/>
    <w:rsid w:val="00452047"/>
    <w:rsid w:val="00452060"/>
    <w:rsid w:val="00456B69"/>
    <w:rsid w:val="0046114D"/>
    <w:rsid w:val="004650D2"/>
    <w:rsid w:val="00467C60"/>
    <w:rsid w:val="00477C08"/>
    <w:rsid w:val="00480BAC"/>
    <w:rsid w:val="00496B0C"/>
    <w:rsid w:val="00497112"/>
    <w:rsid w:val="004A34B8"/>
    <w:rsid w:val="004A7D52"/>
    <w:rsid w:val="004B07EB"/>
    <w:rsid w:val="004B1928"/>
    <w:rsid w:val="004B25B3"/>
    <w:rsid w:val="004B71B3"/>
    <w:rsid w:val="004C03E7"/>
    <w:rsid w:val="004C0E00"/>
    <w:rsid w:val="004C219D"/>
    <w:rsid w:val="004C43EB"/>
    <w:rsid w:val="004C6336"/>
    <w:rsid w:val="004C7565"/>
    <w:rsid w:val="004D022C"/>
    <w:rsid w:val="004D1438"/>
    <w:rsid w:val="004D22C4"/>
    <w:rsid w:val="004E34A4"/>
    <w:rsid w:val="004E41A8"/>
    <w:rsid w:val="004E4945"/>
    <w:rsid w:val="004E53A2"/>
    <w:rsid w:val="004E7DF2"/>
    <w:rsid w:val="004E7ED8"/>
    <w:rsid w:val="00502BB2"/>
    <w:rsid w:val="0050429C"/>
    <w:rsid w:val="00504FB8"/>
    <w:rsid w:val="005101A0"/>
    <w:rsid w:val="005152B4"/>
    <w:rsid w:val="00520E22"/>
    <w:rsid w:val="00521F42"/>
    <w:rsid w:val="005244B7"/>
    <w:rsid w:val="00526BEF"/>
    <w:rsid w:val="0052715B"/>
    <w:rsid w:val="0053089A"/>
    <w:rsid w:val="005316F8"/>
    <w:rsid w:val="00533A7D"/>
    <w:rsid w:val="00546FA7"/>
    <w:rsid w:val="00550AD6"/>
    <w:rsid w:val="0055124F"/>
    <w:rsid w:val="00557947"/>
    <w:rsid w:val="00563AA7"/>
    <w:rsid w:val="005655C7"/>
    <w:rsid w:val="00567FD7"/>
    <w:rsid w:val="005754A8"/>
    <w:rsid w:val="00576E75"/>
    <w:rsid w:val="0058119B"/>
    <w:rsid w:val="00581A2B"/>
    <w:rsid w:val="00585A02"/>
    <w:rsid w:val="005867F3"/>
    <w:rsid w:val="0059377C"/>
    <w:rsid w:val="005A35C7"/>
    <w:rsid w:val="005A393D"/>
    <w:rsid w:val="005A4971"/>
    <w:rsid w:val="005A514A"/>
    <w:rsid w:val="005A52FD"/>
    <w:rsid w:val="005A6078"/>
    <w:rsid w:val="005A72BE"/>
    <w:rsid w:val="005B7847"/>
    <w:rsid w:val="005C493B"/>
    <w:rsid w:val="005C7713"/>
    <w:rsid w:val="005D5EA9"/>
    <w:rsid w:val="005D739D"/>
    <w:rsid w:val="005D7A39"/>
    <w:rsid w:val="005F1DB7"/>
    <w:rsid w:val="005F3721"/>
    <w:rsid w:val="005F5456"/>
    <w:rsid w:val="0060651B"/>
    <w:rsid w:val="00606EA1"/>
    <w:rsid w:val="006102F4"/>
    <w:rsid w:val="006160FD"/>
    <w:rsid w:val="00620895"/>
    <w:rsid w:val="00621701"/>
    <w:rsid w:val="00621B51"/>
    <w:rsid w:val="00624C8B"/>
    <w:rsid w:val="00625CB5"/>
    <w:rsid w:val="00632A61"/>
    <w:rsid w:val="00636180"/>
    <w:rsid w:val="006367AD"/>
    <w:rsid w:val="00641B52"/>
    <w:rsid w:val="00645C94"/>
    <w:rsid w:val="00650064"/>
    <w:rsid w:val="00650705"/>
    <w:rsid w:val="00654B46"/>
    <w:rsid w:val="00655184"/>
    <w:rsid w:val="00655E80"/>
    <w:rsid w:val="00656176"/>
    <w:rsid w:val="00656741"/>
    <w:rsid w:val="00657FF9"/>
    <w:rsid w:val="006673AC"/>
    <w:rsid w:val="00670C6E"/>
    <w:rsid w:val="006720C3"/>
    <w:rsid w:val="0067313D"/>
    <w:rsid w:val="006768F9"/>
    <w:rsid w:val="00691885"/>
    <w:rsid w:val="006A02A9"/>
    <w:rsid w:val="006A1E89"/>
    <w:rsid w:val="006A7320"/>
    <w:rsid w:val="006B0BA6"/>
    <w:rsid w:val="006C2FC7"/>
    <w:rsid w:val="006C3978"/>
    <w:rsid w:val="006C7880"/>
    <w:rsid w:val="006D132E"/>
    <w:rsid w:val="006D3C2E"/>
    <w:rsid w:val="006D5573"/>
    <w:rsid w:val="006E07E4"/>
    <w:rsid w:val="006E0A78"/>
    <w:rsid w:val="006E2789"/>
    <w:rsid w:val="006E3B92"/>
    <w:rsid w:val="006E4874"/>
    <w:rsid w:val="006E5994"/>
    <w:rsid w:val="006E6520"/>
    <w:rsid w:val="006E6679"/>
    <w:rsid w:val="006F024F"/>
    <w:rsid w:val="006F02F9"/>
    <w:rsid w:val="006F0D39"/>
    <w:rsid w:val="006F5D2D"/>
    <w:rsid w:val="0070027C"/>
    <w:rsid w:val="00700788"/>
    <w:rsid w:val="00711DA5"/>
    <w:rsid w:val="00712276"/>
    <w:rsid w:val="00716A4C"/>
    <w:rsid w:val="0072091F"/>
    <w:rsid w:val="007230EB"/>
    <w:rsid w:val="007267A3"/>
    <w:rsid w:val="00730233"/>
    <w:rsid w:val="007310BE"/>
    <w:rsid w:val="0073530D"/>
    <w:rsid w:val="00742EB6"/>
    <w:rsid w:val="00744A0D"/>
    <w:rsid w:val="00746AE2"/>
    <w:rsid w:val="00750C06"/>
    <w:rsid w:val="0075351F"/>
    <w:rsid w:val="00757C31"/>
    <w:rsid w:val="0076272B"/>
    <w:rsid w:val="00762DA2"/>
    <w:rsid w:val="00763A8F"/>
    <w:rsid w:val="00774E06"/>
    <w:rsid w:val="0077587F"/>
    <w:rsid w:val="00782610"/>
    <w:rsid w:val="0078340F"/>
    <w:rsid w:val="00785214"/>
    <w:rsid w:val="007854B8"/>
    <w:rsid w:val="00791C27"/>
    <w:rsid w:val="0079289C"/>
    <w:rsid w:val="00792A98"/>
    <w:rsid w:val="007976F4"/>
    <w:rsid w:val="007A058D"/>
    <w:rsid w:val="007A5C26"/>
    <w:rsid w:val="007B1E08"/>
    <w:rsid w:val="007C1061"/>
    <w:rsid w:val="007C352C"/>
    <w:rsid w:val="007C5A6A"/>
    <w:rsid w:val="007C5D12"/>
    <w:rsid w:val="007D0902"/>
    <w:rsid w:val="007D2B7E"/>
    <w:rsid w:val="007D34CD"/>
    <w:rsid w:val="007E02C3"/>
    <w:rsid w:val="007E2BAA"/>
    <w:rsid w:val="007E3419"/>
    <w:rsid w:val="007E3A08"/>
    <w:rsid w:val="007E75FC"/>
    <w:rsid w:val="007F097C"/>
    <w:rsid w:val="00804866"/>
    <w:rsid w:val="00807065"/>
    <w:rsid w:val="00807651"/>
    <w:rsid w:val="00812ECA"/>
    <w:rsid w:val="00820A3D"/>
    <w:rsid w:val="008226F5"/>
    <w:rsid w:val="008242B2"/>
    <w:rsid w:val="008253E5"/>
    <w:rsid w:val="00833198"/>
    <w:rsid w:val="0083361E"/>
    <w:rsid w:val="008356F6"/>
    <w:rsid w:val="00841738"/>
    <w:rsid w:val="00844C0E"/>
    <w:rsid w:val="00846B63"/>
    <w:rsid w:val="00852E92"/>
    <w:rsid w:val="00854D14"/>
    <w:rsid w:val="00855FCA"/>
    <w:rsid w:val="008614A2"/>
    <w:rsid w:val="00871C9D"/>
    <w:rsid w:val="0087364D"/>
    <w:rsid w:val="008761B3"/>
    <w:rsid w:val="00880C10"/>
    <w:rsid w:val="0088203E"/>
    <w:rsid w:val="00886792"/>
    <w:rsid w:val="008901E2"/>
    <w:rsid w:val="00895355"/>
    <w:rsid w:val="0089567D"/>
    <w:rsid w:val="00895C9D"/>
    <w:rsid w:val="00897AE7"/>
    <w:rsid w:val="008A01D9"/>
    <w:rsid w:val="008A7324"/>
    <w:rsid w:val="008B02C5"/>
    <w:rsid w:val="008C1384"/>
    <w:rsid w:val="008C73D1"/>
    <w:rsid w:val="008C7B9A"/>
    <w:rsid w:val="008D15E3"/>
    <w:rsid w:val="008D3121"/>
    <w:rsid w:val="008D43BA"/>
    <w:rsid w:val="008D58C9"/>
    <w:rsid w:val="008E2B74"/>
    <w:rsid w:val="008E64AC"/>
    <w:rsid w:val="008E69E8"/>
    <w:rsid w:val="00904AFE"/>
    <w:rsid w:val="009078BC"/>
    <w:rsid w:val="00913E0F"/>
    <w:rsid w:val="00916991"/>
    <w:rsid w:val="00916BE1"/>
    <w:rsid w:val="009229FF"/>
    <w:rsid w:val="00922A58"/>
    <w:rsid w:val="0093530C"/>
    <w:rsid w:val="00945A58"/>
    <w:rsid w:val="00946F3C"/>
    <w:rsid w:val="00947413"/>
    <w:rsid w:val="00950B5E"/>
    <w:rsid w:val="009529E5"/>
    <w:rsid w:val="0095321F"/>
    <w:rsid w:val="00953447"/>
    <w:rsid w:val="00955155"/>
    <w:rsid w:val="00955389"/>
    <w:rsid w:val="009559E3"/>
    <w:rsid w:val="00956C4E"/>
    <w:rsid w:val="009639F1"/>
    <w:rsid w:val="00965BC1"/>
    <w:rsid w:val="00966E90"/>
    <w:rsid w:val="00967DC5"/>
    <w:rsid w:val="00973213"/>
    <w:rsid w:val="0097322D"/>
    <w:rsid w:val="00974621"/>
    <w:rsid w:val="00975AAE"/>
    <w:rsid w:val="00982FA5"/>
    <w:rsid w:val="009906A1"/>
    <w:rsid w:val="0099617E"/>
    <w:rsid w:val="00997832"/>
    <w:rsid w:val="009A687E"/>
    <w:rsid w:val="009A7C6C"/>
    <w:rsid w:val="009B4801"/>
    <w:rsid w:val="009B5416"/>
    <w:rsid w:val="009C5B46"/>
    <w:rsid w:val="009E5BD0"/>
    <w:rsid w:val="009F0301"/>
    <w:rsid w:val="009F3B2E"/>
    <w:rsid w:val="009F543B"/>
    <w:rsid w:val="009F5CBD"/>
    <w:rsid w:val="009F5CD9"/>
    <w:rsid w:val="009F67A4"/>
    <w:rsid w:val="009F7E76"/>
    <w:rsid w:val="00A02111"/>
    <w:rsid w:val="00A05A53"/>
    <w:rsid w:val="00A17A7A"/>
    <w:rsid w:val="00A22A7E"/>
    <w:rsid w:val="00A236AD"/>
    <w:rsid w:val="00A23DF0"/>
    <w:rsid w:val="00A327C2"/>
    <w:rsid w:val="00A3715B"/>
    <w:rsid w:val="00A40E95"/>
    <w:rsid w:val="00A4698D"/>
    <w:rsid w:val="00A5195A"/>
    <w:rsid w:val="00A535D2"/>
    <w:rsid w:val="00A54D91"/>
    <w:rsid w:val="00A55055"/>
    <w:rsid w:val="00A55D54"/>
    <w:rsid w:val="00A60156"/>
    <w:rsid w:val="00A61E75"/>
    <w:rsid w:val="00A625C6"/>
    <w:rsid w:val="00A72382"/>
    <w:rsid w:val="00A74052"/>
    <w:rsid w:val="00A741A1"/>
    <w:rsid w:val="00A804CA"/>
    <w:rsid w:val="00A96138"/>
    <w:rsid w:val="00AA0A83"/>
    <w:rsid w:val="00AA286B"/>
    <w:rsid w:val="00AC2D14"/>
    <w:rsid w:val="00AC598E"/>
    <w:rsid w:val="00AD0E03"/>
    <w:rsid w:val="00AD2057"/>
    <w:rsid w:val="00AD3949"/>
    <w:rsid w:val="00AD6BCE"/>
    <w:rsid w:val="00AE46F7"/>
    <w:rsid w:val="00AF614E"/>
    <w:rsid w:val="00AF7048"/>
    <w:rsid w:val="00B007D7"/>
    <w:rsid w:val="00B0308F"/>
    <w:rsid w:val="00B038A0"/>
    <w:rsid w:val="00B04281"/>
    <w:rsid w:val="00B144B7"/>
    <w:rsid w:val="00B14762"/>
    <w:rsid w:val="00B15F6C"/>
    <w:rsid w:val="00B17592"/>
    <w:rsid w:val="00B30F91"/>
    <w:rsid w:val="00B31CA2"/>
    <w:rsid w:val="00B32A06"/>
    <w:rsid w:val="00B353C3"/>
    <w:rsid w:val="00B37F2E"/>
    <w:rsid w:val="00B41B1A"/>
    <w:rsid w:val="00B4704F"/>
    <w:rsid w:val="00B47187"/>
    <w:rsid w:val="00B55D50"/>
    <w:rsid w:val="00B71B5B"/>
    <w:rsid w:val="00B77457"/>
    <w:rsid w:val="00B803EF"/>
    <w:rsid w:val="00B806D6"/>
    <w:rsid w:val="00B80D3C"/>
    <w:rsid w:val="00B81867"/>
    <w:rsid w:val="00B83637"/>
    <w:rsid w:val="00B86B6A"/>
    <w:rsid w:val="00B87C45"/>
    <w:rsid w:val="00B90A59"/>
    <w:rsid w:val="00B931C7"/>
    <w:rsid w:val="00BA4701"/>
    <w:rsid w:val="00BA6A4D"/>
    <w:rsid w:val="00BA757E"/>
    <w:rsid w:val="00BA7B01"/>
    <w:rsid w:val="00BB3F21"/>
    <w:rsid w:val="00BC0ED8"/>
    <w:rsid w:val="00BC257D"/>
    <w:rsid w:val="00BC355C"/>
    <w:rsid w:val="00BC3985"/>
    <w:rsid w:val="00BC6428"/>
    <w:rsid w:val="00BD0686"/>
    <w:rsid w:val="00BD0891"/>
    <w:rsid w:val="00BD0E14"/>
    <w:rsid w:val="00BD2C22"/>
    <w:rsid w:val="00BD3466"/>
    <w:rsid w:val="00BD53C7"/>
    <w:rsid w:val="00BD746F"/>
    <w:rsid w:val="00BE08CE"/>
    <w:rsid w:val="00BE3E2B"/>
    <w:rsid w:val="00BF1582"/>
    <w:rsid w:val="00BF3BCC"/>
    <w:rsid w:val="00BF4595"/>
    <w:rsid w:val="00C02A19"/>
    <w:rsid w:val="00C0601A"/>
    <w:rsid w:val="00C115D0"/>
    <w:rsid w:val="00C156EA"/>
    <w:rsid w:val="00C15CF9"/>
    <w:rsid w:val="00C15F61"/>
    <w:rsid w:val="00C16F17"/>
    <w:rsid w:val="00C279B0"/>
    <w:rsid w:val="00C27B5F"/>
    <w:rsid w:val="00C3002B"/>
    <w:rsid w:val="00C31142"/>
    <w:rsid w:val="00C34221"/>
    <w:rsid w:val="00C37A96"/>
    <w:rsid w:val="00C436B8"/>
    <w:rsid w:val="00C4588E"/>
    <w:rsid w:val="00C47B71"/>
    <w:rsid w:val="00C50FA0"/>
    <w:rsid w:val="00C51517"/>
    <w:rsid w:val="00C537AC"/>
    <w:rsid w:val="00C600F0"/>
    <w:rsid w:val="00C61B93"/>
    <w:rsid w:val="00C6429F"/>
    <w:rsid w:val="00C7040F"/>
    <w:rsid w:val="00C73A90"/>
    <w:rsid w:val="00C75EA9"/>
    <w:rsid w:val="00C76732"/>
    <w:rsid w:val="00C77EA8"/>
    <w:rsid w:val="00C81C4C"/>
    <w:rsid w:val="00C8467A"/>
    <w:rsid w:val="00C84F04"/>
    <w:rsid w:val="00C900B3"/>
    <w:rsid w:val="00C97CDE"/>
    <w:rsid w:val="00CA078A"/>
    <w:rsid w:val="00CA3732"/>
    <w:rsid w:val="00CA509C"/>
    <w:rsid w:val="00CB5337"/>
    <w:rsid w:val="00CB6C37"/>
    <w:rsid w:val="00CB6D0F"/>
    <w:rsid w:val="00CB6DB8"/>
    <w:rsid w:val="00CB7C1E"/>
    <w:rsid w:val="00CC0457"/>
    <w:rsid w:val="00CC3482"/>
    <w:rsid w:val="00CC57C5"/>
    <w:rsid w:val="00CC763F"/>
    <w:rsid w:val="00CD1CBD"/>
    <w:rsid w:val="00CD4EFE"/>
    <w:rsid w:val="00CD57C4"/>
    <w:rsid w:val="00CE44F2"/>
    <w:rsid w:val="00CE7F4B"/>
    <w:rsid w:val="00CF0AE5"/>
    <w:rsid w:val="00CF3B6A"/>
    <w:rsid w:val="00D0017E"/>
    <w:rsid w:val="00D0116A"/>
    <w:rsid w:val="00D068E8"/>
    <w:rsid w:val="00D14146"/>
    <w:rsid w:val="00D14C2C"/>
    <w:rsid w:val="00D164F8"/>
    <w:rsid w:val="00D24FA1"/>
    <w:rsid w:val="00D32227"/>
    <w:rsid w:val="00D34CFE"/>
    <w:rsid w:val="00D42406"/>
    <w:rsid w:val="00D43434"/>
    <w:rsid w:val="00D50511"/>
    <w:rsid w:val="00D52CBA"/>
    <w:rsid w:val="00D54A93"/>
    <w:rsid w:val="00D578B2"/>
    <w:rsid w:val="00D61052"/>
    <w:rsid w:val="00D62C98"/>
    <w:rsid w:val="00D62D8F"/>
    <w:rsid w:val="00D654E0"/>
    <w:rsid w:val="00D67C0E"/>
    <w:rsid w:val="00D70588"/>
    <w:rsid w:val="00D70750"/>
    <w:rsid w:val="00D7473B"/>
    <w:rsid w:val="00D74E49"/>
    <w:rsid w:val="00D77143"/>
    <w:rsid w:val="00D77337"/>
    <w:rsid w:val="00D776DB"/>
    <w:rsid w:val="00D90146"/>
    <w:rsid w:val="00D94408"/>
    <w:rsid w:val="00D956BD"/>
    <w:rsid w:val="00D95A38"/>
    <w:rsid w:val="00D9645E"/>
    <w:rsid w:val="00D964B8"/>
    <w:rsid w:val="00D97E38"/>
    <w:rsid w:val="00DA0774"/>
    <w:rsid w:val="00DA1CE9"/>
    <w:rsid w:val="00DA35BB"/>
    <w:rsid w:val="00DA5124"/>
    <w:rsid w:val="00DB6826"/>
    <w:rsid w:val="00DB6870"/>
    <w:rsid w:val="00DB6CA8"/>
    <w:rsid w:val="00DC2CE6"/>
    <w:rsid w:val="00DC4022"/>
    <w:rsid w:val="00DC631B"/>
    <w:rsid w:val="00DC7613"/>
    <w:rsid w:val="00DC7F80"/>
    <w:rsid w:val="00DD17C1"/>
    <w:rsid w:val="00DD1B58"/>
    <w:rsid w:val="00DD214A"/>
    <w:rsid w:val="00DD461D"/>
    <w:rsid w:val="00DD4A7A"/>
    <w:rsid w:val="00DD7CA3"/>
    <w:rsid w:val="00DE38DA"/>
    <w:rsid w:val="00DF0F58"/>
    <w:rsid w:val="00DF287C"/>
    <w:rsid w:val="00DF372D"/>
    <w:rsid w:val="00DF3D2B"/>
    <w:rsid w:val="00DF7C3E"/>
    <w:rsid w:val="00E04F77"/>
    <w:rsid w:val="00E057C3"/>
    <w:rsid w:val="00E05D20"/>
    <w:rsid w:val="00E05D85"/>
    <w:rsid w:val="00E06779"/>
    <w:rsid w:val="00E1111C"/>
    <w:rsid w:val="00E21BEF"/>
    <w:rsid w:val="00E24E96"/>
    <w:rsid w:val="00E2693C"/>
    <w:rsid w:val="00E26CC4"/>
    <w:rsid w:val="00E30CE6"/>
    <w:rsid w:val="00E33491"/>
    <w:rsid w:val="00E33693"/>
    <w:rsid w:val="00E346D2"/>
    <w:rsid w:val="00E41BBC"/>
    <w:rsid w:val="00E4243B"/>
    <w:rsid w:val="00E4369F"/>
    <w:rsid w:val="00E50A9E"/>
    <w:rsid w:val="00E55449"/>
    <w:rsid w:val="00E66C78"/>
    <w:rsid w:val="00E700CF"/>
    <w:rsid w:val="00E706FA"/>
    <w:rsid w:val="00E72580"/>
    <w:rsid w:val="00E72F31"/>
    <w:rsid w:val="00E73184"/>
    <w:rsid w:val="00E74221"/>
    <w:rsid w:val="00E76335"/>
    <w:rsid w:val="00E777F5"/>
    <w:rsid w:val="00E8170C"/>
    <w:rsid w:val="00E838C3"/>
    <w:rsid w:val="00E91B66"/>
    <w:rsid w:val="00E9459A"/>
    <w:rsid w:val="00E94AF5"/>
    <w:rsid w:val="00E95C7A"/>
    <w:rsid w:val="00E97344"/>
    <w:rsid w:val="00EA2327"/>
    <w:rsid w:val="00EA51A2"/>
    <w:rsid w:val="00EA5CA5"/>
    <w:rsid w:val="00EA676C"/>
    <w:rsid w:val="00EA7E45"/>
    <w:rsid w:val="00EB1DDC"/>
    <w:rsid w:val="00EB23FD"/>
    <w:rsid w:val="00EB56D3"/>
    <w:rsid w:val="00EC28CC"/>
    <w:rsid w:val="00EC2977"/>
    <w:rsid w:val="00EC2A1D"/>
    <w:rsid w:val="00ED128F"/>
    <w:rsid w:val="00ED1F58"/>
    <w:rsid w:val="00ED50BD"/>
    <w:rsid w:val="00ED5258"/>
    <w:rsid w:val="00ED70B3"/>
    <w:rsid w:val="00EE02E9"/>
    <w:rsid w:val="00EE156D"/>
    <w:rsid w:val="00EE298F"/>
    <w:rsid w:val="00EE51BF"/>
    <w:rsid w:val="00EE53E1"/>
    <w:rsid w:val="00EE54EF"/>
    <w:rsid w:val="00EE5A59"/>
    <w:rsid w:val="00EF1F23"/>
    <w:rsid w:val="00F00046"/>
    <w:rsid w:val="00F006D5"/>
    <w:rsid w:val="00F01E98"/>
    <w:rsid w:val="00F0328F"/>
    <w:rsid w:val="00F05E56"/>
    <w:rsid w:val="00F06938"/>
    <w:rsid w:val="00F12E77"/>
    <w:rsid w:val="00F22B1C"/>
    <w:rsid w:val="00F32863"/>
    <w:rsid w:val="00F37B41"/>
    <w:rsid w:val="00F40456"/>
    <w:rsid w:val="00F44FB9"/>
    <w:rsid w:val="00F46339"/>
    <w:rsid w:val="00F47707"/>
    <w:rsid w:val="00F542EB"/>
    <w:rsid w:val="00F57151"/>
    <w:rsid w:val="00F67302"/>
    <w:rsid w:val="00F71188"/>
    <w:rsid w:val="00F72A3E"/>
    <w:rsid w:val="00F7382A"/>
    <w:rsid w:val="00F74259"/>
    <w:rsid w:val="00F74CB3"/>
    <w:rsid w:val="00F869A1"/>
    <w:rsid w:val="00FA5D0D"/>
    <w:rsid w:val="00FA7905"/>
    <w:rsid w:val="00FB31C9"/>
    <w:rsid w:val="00FC1A69"/>
    <w:rsid w:val="00FD0EF9"/>
    <w:rsid w:val="00FD3C1E"/>
    <w:rsid w:val="00FD622F"/>
    <w:rsid w:val="00FD6778"/>
    <w:rsid w:val="00FE1F80"/>
    <w:rsid w:val="00FE703B"/>
    <w:rsid w:val="00FE797B"/>
    <w:rsid w:val="00FF05E0"/>
    <w:rsid w:val="00FF522B"/>
    <w:rsid w:val="00FF69A3"/>
    <w:rsid w:val="00FF6E93"/>
    <w:rsid w:val="00FF7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0B9767-CA42-4803-9D92-F08EE569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tabs>
        <w:tab w:val="left" w:pos="296"/>
      </w:tabs>
      <w:ind w:left="-722"/>
      <w:jc w:val="lowKashida"/>
      <w:outlineLvl w:val="0"/>
    </w:pPr>
    <w:rPr>
      <w:rFonts w:cs="Simplified Arabic"/>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cs="Simplified Arabic"/>
      <w:b/>
      <w:bCs/>
      <w:sz w:val="20"/>
      <w:szCs w:val="20"/>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lowKashida"/>
    </w:pPr>
    <w:rPr>
      <w:rFonts w:cs="Simplified Arabic"/>
      <w:sz w:val="20"/>
      <w:szCs w:val="20"/>
      <w:lang w:eastAsia="en-US"/>
    </w:rPr>
  </w:style>
  <w:style w:type="character" w:styleId="Hyperlink">
    <w:name w:val="Hyperlink"/>
    <w:uiPriority w:val="99"/>
    <w:rPr>
      <w:strike w:val="0"/>
      <w:dstrike w:val="0"/>
      <w:color w:val="000080"/>
      <w:sz w:val="21"/>
      <w:szCs w:val="21"/>
      <w:u w:val="none"/>
      <w:effect w:val="none"/>
    </w:rPr>
  </w:style>
  <w:style w:type="paragraph" w:styleId="Title">
    <w:name w:val="Title"/>
    <w:basedOn w:val="Normal"/>
    <w:qFormat/>
    <w:pPr>
      <w:jc w:val="center"/>
    </w:pPr>
    <w:rPr>
      <w:rFonts w:cs="Simplified Arabic"/>
      <w:b/>
      <w:bCs/>
    </w:rPr>
  </w:style>
  <w:style w:type="paragraph" w:styleId="Header">
    <w:name w:val="header"/>
    <w:basedOn w:val="Normal"/>
    <w:link w:val="HeaderChar"/>
    <w:pPr>
      <w:tabs>
        <w:tab w:val="center" w:pos="4153"/>
        <w:tab w:val="right" w:pos="8306"/>
      </w:tabs>
    </w:pPr>
    <w:rPr>
      <w:sz w:val="20"/>
      <w:szCs w:val="20"/>
      <w:lang w:val="x-none" w:eastAsia="x-none"/>
    </w:rPr>
  </w:style>
  <w:style w:type="paragraph" w:styleId="BodyText3">
    <w:name w:val="Body Text 3"/>
    <w:basedOn w:val="Normal"/>
    <w:semiHidden/>
    <w:pPr>
      <w:jc w:val="lowKashida"/>
    </w:pPr>
    <w:rPr>
      <w:rFonts w:cs="Simplified Arabic"/>
      <w:szCs w:val="26"/>
      <w:lang w:eastAsia="en-US"/>
    </w:rPr>
  </w:style>
  <w:style w:type="paragraph" w:styleId="BodyText2">
    <w:name w:val="Body Text 2"/>
    <w:basedOn w:val="Normal"/>
    <w:semiHidden/>
    <w:pPr>
      <w:spacing w:after="120" w:line="480" w:lineRule="auto"/>
    </w:pPr>
  </w:style>
  <w:style w:type="paragraph" w:customStyle="1" w:styleId="a">
    <w:name w:val="نص في بالون"/>
    <w:basedOn w:val="Normal"/>
    <w:semiHidden/>
    <w:rPr>
      <w:rFonts w:ascii="Tahoma" w:hAnsi="Tahoma" w:cs="Tahoma"/>
      <w:sz w:val="16"/>
      <w:szCs w:val="16"/>
    </w:rPr>
  </w:style>
  <w:style w:type="character" w:customStyle="1" w:styleId="longtext1">
    <w:name w:val="long_text1"/>
    <w:rPr>
      <w:sz w:val="20"/>
      <w:szCs w:val="20"/>
    </w:rPr>
  </w:style>
  <w:style w:type="character" w:customStyle="1" w:styleId="hps">
    <w:name w:val="hps"/>
    <w:basedOn w:val="DefaultParagraphFont"/>
  </w:style>
  <w:style w:type="character" w:customStyle="1" w:styleId="shorttext">
    <w:name w:val="short_text"/>
    <w:basedOn w:val="DefaultParagraphFont"/>
  </w:style>
  <w:style w:type="character" w:styleId="Strong">
    <w:name w:val="Strong"/>
    <w:uiPriority w:val="22"/>
    <w:qFormat/>
    <w:rsid w:val="007C5A6A"/>
    <w:rPr>
      <w:b/>
      <w:bCs/>
    </w:rPr>
  </w:style>
  <w:style w:type="character" w:styleId="CommentReference">
    <w:name w:val="annotation reference"/>
    <w:uiPriority w:val="99"/>
    <w:semiHidden/>
    <w:unhideWhenUsed/>
    <w:rsid w:val="002765FE"/>
    <w:rPr>
      <w:sz w:val="16"/>
      <w:szCs w:val="16"/>
    </w:rPr>
  </w:style>
  <w:style w:type="paragraph" w:styleId="CommentText">
    <w:name w:val="annotation text"/>
    <w:basedOn w:val="Normal"/>
    <w:link w:val="CommentTextChar"/>
    <w:uiPriority w:val="99"/>
    <w:semiHidden/>
    <w:unhideWhenUsed/>
    <w:rsid w:val="002765FE"/>
    <w:rPr>
      <w:sz w:val="20"/>
      <w:szCs w:val="20"/>
      <w:lang w:val="x-none"/>
    </w:rPr>
  </w:style>
  <w:style w:type="character" w:customStyle="1" w:styleId="CommentTextChar">
    <w:name w:val="Comment Text Char"/>
    <w:link w:val="CommentText"/>
    <w:uiPriority w:val="99"/>
    <w:semiHidden/>
    <w:rsid w:val="002765FE"/>
    <w:rPr>
      <w:lang w:eastAsia="ar-SA"/>
    </w:rPr>
  </w:style>
  <w:style w:type="paragraph" w:styleId="BalloonText">
    <w:name w:val="Balloon Text"/>
    <w:basedOn w:val="Normal"/>
    <w:link w:val="BalloonTextChar"/>
    <w:uiPriority w:val="99"/>
    <w:semiHidden/>
    <w:unhideWhenUsed/>
    <w:rsid w:val="002765FE"/>
    <w:rPr>
      <w:rFonts w:ascii="Tahoma" w:hAnsi="Tahoma"/>
      <w:sz w:val="16"/>
      <w:szCs w:val="16"/>
      <w:lang w:val="x-none"/>
    </w:rPr>
  </w:style>
  <w:style w:type="character" w:customStyle="1" w:styleId="BalloonTextChar">
    <w:name w:val="Balloon Text Char"/>
    <w:link w:val="BalloonText"/>
    <w:uiPriority w:val="99"/>
    <w:semiHidden/>
    <w:rsid w:val="002765FE"/>
    <w:rPr>
      <w:rFonts w:ascii="Tahoma" w:hAnsi="Tahoma" w:cs="Tahoma"/>
      <w:sz w:val="16"/>
      <w:szCs w:val="16"/>
      <w:lang w:eastAsia="ar-SA"/>
    </w:rPr>
  </w:style>
  <w:style w:type="paragraph" w:styleId="Footer">
    <w:name w:val="footer"/>
    <w:basedOn w:val="Normal"/>
    <w:link w:val="FooterChar"/>
    <w:uiPriority w:val="99"/>
    <w:unhideWhenUsed/>
    <w:rsid w:val="00C51517"/>
    <w:pPr>
      <w:tabs>
        <w:tab w:val="center" w:pos="4153"/>
        <w:tab w:val="right" w:pos="8306"/>
      </w:tabs>
    </w:pPr>
    <w:rPr>
      <w:lang w:val="x-none"/>
    </w:rPr>
  </w:style>
  <w:style w:type="character" w:customStyle="1" w:styleId="FooterChar">
    <w:name w:val="Footer Char"/>
    <w:link w:val="Footer"/>
    <w:uiPriority w:val="99"/>
    <w:rsid w:val="00C51517"/>
    <w:rPr>
      <w:sz w:val="24"/>
      <w:szCs w:val="24"/>
      <w:lang w:eastAsia="ar-SA"/>
    </w:rPr>
  </w:style>
  <w:style w:type="character" w:customStyle="1" w:styleId="HeaderChar">
    <w:name w:val="Header Char"/>
    <w:link w:val="Header"/>
    <w:rsid w:val="00C51517"/>
    <w:rPr>
      <w:rFonts w:cs="Traditional Arabic"/>
    </w:rPr>
  </w:style>
  <w:style w:type="table" w:styleId="TableGrid">
    <w:name w:val="Table Grid"/>
    <w:basedOn w:val="TableNormal"/>
    <w:uiPriority w:val="59"/>
    <w:rsid w:val="00C5151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32A61"/>
    <w:rPr>
      <w:b/>
      <w:bCs/>
    </w:rPr>
  </w:style>
  <w:style w:type="character" w:customStyle="1" w:styleId="CommentSubjectChar">
    <w:name w:val="Comment Subject Char"/>
    <w:link w:val="CommentSubject"/>
    <w:uiPriority w:val="99"/>
    <w:semiHidden/>
    <w:rsid w:val="00632A61"/>
    <w:rPr>
      <w:b/>
      <w:bCs/>
      <w:lang w:eastAsia="ar-SA"/>
    </w:rPr>
  </w:style>
  <w:style w:type="paragraph" w:styleId="NormalWeb">
    <w:name w:val="Normal (Web)"/>
    <w:basedOn w:val="Normal"/>
    <w:uiPriority w:val="99"/>
    <w:unhideWhenUsed/>
    <w:rsid w:val="0093530C"/>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8201">
      <w:bodyDiv w:val="1"/>
      <w:marLeft w:val="0"/>
      <w:marRight w:val="0"/>
      <w:marTop w:val="0"/>
      <w:marBottom w:val="0"/>
      <w:divBdr>
        <w:top w:val="none" w:sz="0" w:space="0" w:color="auto"/>
        <w:left w:val="none" w:sz="0" w:space="0" w:color="auto"/>
        <w:bottom w:val="none" w:sz="0" w:space="0" w:color="auto"/>
        <w:right w:val="none" w:sz="0" w:space="0" w:color="auto"/>
      </w:divBdr>
    </w:div>
    <w:div w:id="686902725">
      <w:bodyDiv w:val="1"/>
      <w:marLeft w:val="0"/>
      <w:marRight w:val="0"/>
      <w:marTop w:val="0"/>
      <w:marBottom w:val="0"/>
      <w:divBdr>
        <w:top w:val="none" w:sz="0" w:space="0" w:color="auto"/>
        <w:left w:val="none" w:sz="0" w:space="0" w:color="auto"/>
        <w:bottom w:val="none" w:sz="0" w:space="0" w:color="auto"/>
        <w:right w:val="none" w:sz="0" w:space="0" w:color="auto"/>
      </w:divBdr>
    </w:div>
    <w:div w:id="1175729541">
      <w:bodyDiv w:val="1"/>
      <w:marLeft w:val="0"/>
      <w:marRight w:val="0"/>
      <w:marTop w:val="0"/>
      <w:marBottom w:val="0"/>
      <w:divBdr>
        <w:top w:val="none" w:sz="0" w:space="0" w:color="auto"/>
        <w:left w:val="none" w:sz="0" w:space="0" w:color="auto"/>
        <w:bottom w:val="none" w:sz="0" w:space="0" w:color="auto"/>
        <w:right w:val="none" w:sz="0" w:space="0" w:color="auto"/>
      </w:divBdr>
      <w:divsChild>
        <w:div w:id="1176263832">
          <w:marLeft w:val="0"/>
          <w:marRight w:val="0"/>
          <w:marTop w:val="0"/>
          <w:marBottom w:val="0"/>
          <w:divBdr>
            <w:top w:val="none" w:sz="0" w:space="0" w:color="auto"/>
            <w:left w:val="none" w:sz="0" w:space="0" w:color="auto"/>
            <w:bottom w:val="none" w:sz="0" w:space="0" w:color="auto"/>
            <w:right w:val="none" w:sz="0" w:space="0" w:color="auto"/>
          </w:divBdr>
          <w:divsChild>
            <w:div w:id="79302429">
              <w:marLeft w:val="0"/>
              <w:marRight w:val="0"/>
              <w:marTop w:val="0"/>
              <w:marBottom w:val="0"/>
              <w:divBdr>
                <w:top w:val="none" w:sz="0" w:space="0" w:color="auto"/>
                <w:left w:val="none" w:sz="0" w:space="0" w:color="auto"/>
                <w:bottom w:val="none" w:sz="0" w:space="0" w:color="auto"/>
                <w:right w:val="none" w:sz="0" w:space="0" w:color="auto"/>
              </w:divBdr>
              <w:divsChild>
                <w:div w:id="212816408">
                  <w:marLeft w:val="0"/>
                  <w:marRight w:val="0"/>
                  <w:marTop w:val="0"/>
                  <w:marBottom w:val="0"/>
                  <w:divBdr>
                    <w:top w:val="none" w:sz="0" w:space="0" w:color="auto"/>
                    <w:left w:val="none" w:sz="0" w:space="0" w:color="auto"/>
                    <w:bottom w:val="none" w:sz="0" w:space="0" w:color="auto"/>
                    <w:right w:val="none" w:sz="0" w:space="0" w:color="auto"/>
                  </w:divBdr>
                  <w:divsChild>
                    <w:div w:id="1354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39894">
      <w:bodyDiv w:val="1"/>
      <w:marLeft w:val="0"/>
      <w:marRight w:val="0"/>
      <w:marTop w:val="0"/>
      <w:marBottom w:val="0"/>
      <w:divBdr>
        <w:top w:val="none" w:sz="0" w:space="0" w:color="auto"/>
        <w:left w:val="none" w:sz="0" w:space="0" w:color="auto"/>
        <w:bottom w:val="none" w:sz="0" w:space="0" w:color="auto"/>
        <w:right w:val="none" w:sz="0" w:space="0" w:color="auto"/>
      </w:divBdr>
      <w:divsChild>
        <w:div w:id="1446314927">
          <w:marLeft w:val="0"/>
          <w:marRight w:val="0"/>
          <w:marTop w:val="0"/>
          <w:marBottom w:val="0"/>
          <w:divBdr>
            <w:top w:val="none" w:sz="0" w:space="0" w:color="auto"/>
            <w:left w:val="none" w:sz="0" w:space="0" w:color="auto"/>
            <w:bottom w:val="none" w:sz="0" w:space="0" w:color="auto"/>
            <w:right w:val="none" w:sz="0" w:space="0" w:color="auto"/>
          </w:divBdr>
          <w:divsChild>
            <w:div w:id="521630647">
              <w:marLeft w:val="0"/>
              <w:marRight w:val="0"/>
              <w:marTop w:val="0"/>
              <w:marBottom w:val="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sChild>
                    <w:div w:id="1755470401">
                      <w:marLeft w:val="0"/>
                      <w:marRight w:val="0"/>
                      <w:marTop w:val="0"/>
                      <w:marBottom w:val="0"/>
                      <w:divBdr>
                        <w:top w:val="none" w:sz="0" w:space="0" w:color="auto"/>
                        <w:left w:val="none" w:sz="0" w:space="0" w:color="auto"/>
                        <w:bottom w:val="none" w:sz="0" w:space="0" w:color="auto"/>
                        <w:right w:val="none" w:sz="0" w:space="0" w:color="auto"/>
                      </w:divBdr>
                      <w:divsChild>
                        <w:div w:id="839585195">
                          <w:marLeft w:val="0"/>
                          <w:marRight w:val="0"/>
                          <w:marTop w:val="0"/>
                          <w:marBottom w:val="0"/>
                          <w:divBdr>
                            <w:top w:val="none" w:sz="0" w:space="0" w:color="auto"/>
                            <w:left w:val="none" w:sz="0" w:space="0" w:color="auto"/>
                            <w:bottom w:val="none" w:sz="0" w:space="0" w:color="auto"/>
                            <w:right w:val="none" w:sz="0" w:space="0" w:color="auto"/>
                          </w:divBdr>
                          <w:divsChild>
                            <w:div w:id="2125344556">
                              <w:marLeft w:val="0"/>
                              <w:marRight w:val="0"/>
                              <w:marTop w:val="0"/>
                              <w:marBottom w:val="0"/>
                              <w:divBdr>
                                <w:top w:val="none" w:sz="0" w:space="0" w:color="auto"/>
                                <w:left w:val="none" w:sz="0" w:space="0" w:color="auto"/>
                                <w:bottom w:val="none" w:sz="0" w:space="0" w:color="auto"/>
                                <w:right w:val="none" w:sz="0" w:space="0" w:color="auto"/>
                              </w:divBdr>
                              <w:divsChild>
                                <w:div w:id="1577471899">
                                  <w:marLeft w:val="0"/>
                                  <w:marRight w:val="0"/>
                                  <w:marTop w:val="0"/>
                                  <w:marBottom w:val="0"/>
                                  <w:divBdr>
                                    <w:top w:val="single" w:sz="6" w:space="0" w:color="F5F5F5"/>
                                    <w:left w:val="single" w:sz="6" w:space="0" w:color="F5F5F5"/>
                                    <w:bottom w:val="single" w:sz="6" w:space="0" w:color="F5F5F5"/>
                                    <w:right w:val="single" w:sz="6" w:space="0" w:color="F5F5F5"/>
                                  </w:divBdr>
                                  <w:divsChild>
                                    <w:div w:id="1061250831">
                                      <w:marLeft w:val="0"/>
                                      <w:marRight w:val="0"/>
                                      <w:marTop w:val="0"/>
                                      <w:marBottom w:val="0"/>
                                      <w:divBdr>
                                        <w:top w:val="none" w:sz="0" w:space="0" w:color="auto"/>
                                        <w:left w:val="none" w:sz="0" w:space="0" w:color="auto"/>
                                        <w:bottom w:val="none" w:sz="0" w:space="0" w:color="auto"/>
                                        <w:right w:val="none" w:sz="0" w:space="0" w:color="auto"/>
                                      </w:divBdr>
                                      <w:divsChild>
                                        <w:div w:id="17116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072661">
      <w:bodyDiv w:val="1"/>
      <w:marLeft w:val="0"/>
      <w:marRight w:val="0"/>
      <w:marTop w:val="0"/>
      <w:marBottom w:val="0"/>
      <w:divBdr>
        <w:top w:val="none" w:sz="0" w:space="0" w:color="auto"/>
        <w:left w:val="none" w:sz="0" w:space="0" w:color="auto"/>
        <w:bottom w:val="none" w:sz="0" w:space="0" w:color="auto"/>
        <w:right w:val="none" w:sz="0" w:space="0" w:color="auto"/>
      </w:divBdr>
    </w:div>
    <w:div w:id="1953395205">
      <w:bodyDiv w:val="1"/>
      <w:marLeft w:val="0"/>
      <w:marRight w:val="0"/>
      <w:marTop w:val="0"/>
      <w:marBottom w:val="0"/>
      <w:divBdr>
        <w:top w:val="none" w:sz="0" w:space="0" w:color="auto"/>
        <w:left w:val="none" w:sz="0" w:space="0" w:color="auto"/>
        <w:bottom w:val="none" w:sz="0" w:space="0" w:color="auto"/>
        <w:right w:val="none" w:sz="0" w:space="0" w:color="auto"/>
      </w:divBdr>
    </w:div>
    <w:div w:id="2075279352">
      <w:bodyDiv w:val="1"/>
      <w:marLeft w:val="0"/>
      <w:marRight w:val="0"/>
      <w:marTop w:val="0"/>
      <w:marBottom w:val="0"/>
      <w:divBdr>
        <w:top w:val="none" w:sz="0" w:space="0" w:color="auto"/>
        <w:left w:val="none" w:sz="0" w:space="0" w:color="auto"/>
        <w:bottom w:val="none" w:sz="0" w:space="0" w:color="auto"/>
        <w:right w:val="none" w:sz="0" w:space="0" w:color="auto"/>
      </w:divBdr>
      <w:divsChild>
        <w:div w:id="284239181">
          <w:marLeft w:val="0"/>
          <w:marRight w:val="0"/>
          <w:marTop w:val="0"/>
          <w:marBottom w:val="0"/>
          <w:divBdr>
            <w:top w:val="none" w:sz="0" w:space="0" w:color="auto"/>
            <w:left w:val="none" w:sz="0" w:space="0" w:color="auto"/>
            <w:bottom w:val="none" w:sz="0" w:space="0" w:color="auto"/>
            <w:right w:val="none" w:sz="0" w:space="0" w:color="auto"/>
          </w:divBdr>
          <w:divsChild>
            <w:div w:id="2034726290">
              <w:marLeft w:val="0"/>
              <w:marRight w:val="0"/>
              <w:marTop w:val="0"/>
              <w:marBottom w:val="0"/>
              <w:divBdr>
                <w:top w:val="none" w:sz="0" w:space="0" w:color="auto"/>
                <w:left w:val="none" w:sz="0" w:space="0" w:color="auto"/>
                <w:bottom w:val="none" w:sz="0" w:space="0" w:color="auto"/>
                <w:right w:val="none" w:sz="0" w:space="0" w:color="auto"/>
              </w:divBdr>
              <w:divsChild>
                <w:div w:id="2083217164">
                  <w:marLeft w:val="0"/>
                  <w:marRight w:val="0"/>
                  <w:marTop w:val="0"/>
                  <w:marBottom w:val="0"/>
                  <w:divBdr>
                    <w:top w:val="none" w:sz="0" w:space="0" w:color="auto"/>
                    <w:left w:val="none" w:sz="0" w:space="0" w:color="auto"/>
                    <w:bottom w:val="none" w:sz="0" w:space="0" w:color="auto"/>
                    <w:right w:val="none" w:sz="0" w:space="0" w:color="auto"/>
                  </w:divBdr>
                  <w:divsChild>
                    <w:div w:id="38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2360248447205"/>
          <c:y val="5.5E-2"/>
          <c:w val="0.87267080745341619"/>
          <c:h val="0.73"/>
        </c:manualLayout>
      </c:layout>
      <c:barChart>
        <c:barDir val="col"/>
        <c:grouping val="clustered"/>
        <c:varyColors val="0"/>
        <c:ser>
          <c:idx val="0"/>
          <c:order val="0"/>
          <c:tx>
            <c:strRef>
              <c:f>Sheet1!$A$2</c:f>
              <c:strCache>
                <c:ptCount val="1"/>
                <c:pt idx="0">
                  <c:v>الفرق </c:v>
                </c:pt>
              </c:strCache>
            </c:strRef>
          </c:tx>
          <c:spPr>
            <a:solidFill>
              <a:srgbClr val="9999FF"/>
            </a:solidFill>
            <a:ln w="12695">
              <a:solidFill>
                <a:srgbClr val="000000"/>
              </a:solidFill>
              <a:prstDash val="solid"/>
            </a:ln>
          </c:spPr>
          <c:invertIfNegative val="0"/>
          <c:dLbls>
            <c:dLbl>
              <c:idx val="0"/>
              <c:tx>
                <c:rich>
                  <a:bodyPr/>
                  <a:lstStyle/>
                  <a:p>
                    <a:r>
                      <a:rPr lang="en-US"/>
                      <a:t>3.6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F0-4ACC-A8FC-4BA672F0F59D}"/>
                </c:ext>
              </c:extLst>
            </c:dLbl>
            <c:dLbl>
              <c:idx val="2"/>
              <c:tx>
                <c:rich>
                  <a:bodyPr/>
                  <a:lstStyle/>
                  <a:p>
                    <a:r>
                      <a:rPr lang="en-US"/>
                      <a:t>1.7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F0-4ACC-A8FC-4BA672F0F59D}"/>
                </c:ext>
              </c:extLst>
            </c:dLbl>
            <c:dLbl>
              <c:idx val="3"/>
              <c:layout>
                <c:manualLayout>
                  <c:x val="9.0666158563812438E-3"/>
                  <c:y val="-4.7807166553419378E-2"/>
                </c:manualLayout>
              </c:layout>
              <c:tx>
                <c:rich>
                  <a:bodyPr/>
                  <a:lstStyle/>
                  <a:p>
                    <a:pPr>
                      <a:defRPr sz="625" b="0" i="0" u="none" strike="noStrike" baseline="0">
                        <a:solidFill>
                          <a:srgbClr val="000000"/>
                        </a:solidFill>
                        <a:latin typeface="Arial"/>
                        <a:ea typeface="Arial"/>
                        <a:cs typeface="Arial"/>
                      </a:defRPr>
                    </a:pPr>
                    <a:r>
                      <a:rPr lang="en-US"/>
                      <a:t>1.7</a:t>
                    </a:r>
                  </a:p>
                </c:rich>
              </c:tx>
              <c:numFmt formatCode="0.0" sourceLinked="0"/>
              <c:spPr>
                <a:noFill/>
                <a:ln w="25389">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F0-4ACC-A8FC-4BA672F0F59D}"/>
                </c:ext>
              </c:extLst>
            </c:dLbl>
            <c:dLbl>
              <c:idx val="4"/>
              <c:layout>
                <c:manualLayout>
                  <c:x val="1.0234023688677651E-2"/>
                  <c:y val="-5.0057356409129006E-2"/>
                </c:manualLayout>
              </c:layout>
              <c:numFmt formatCode="0.0" sourceLinked="0"/>
              <c:spPr>
                <a:noFill/>
                <a:ln w="25389">
                  <a:noFill/>
                </a:ln>
              </c:spPr>
              <c:txPr>
                <a:bodyPr/>
                <a:lstStyle/>
                <a:p>
                  <a:pPr>
                    <a:defRPr sz="625"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F0-4ACC-A8FC-4BA672F0F59D}"/>
                </c:ext>
              </c:extLst>
            </c:dLbl>
            <c:numFmt formatCode="0.0" sourceLinked="0"/>
            <c:spPr>
              <a:noFill/>
              <a:ln w="25389">
                <a:noFill/>
              </a:ln>
            </c:spPr>
            <c:txPr>
              <a:bodyPr wrap="square" lIns="38100" tIns="19050" rIns="38100" bIns="19050" anchor="ctr">
                <a:spAutoFit/>
              </a:bodyPr>
              <a:lstStyle/>
              <a:p>
                <a:pPr>
                  <a:defRPr sz="625"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Jenin</c:v>
                </c:pt>
                <c:pt idx="2">
                  <c:v>Hebron</c:v>
                </c:pt>
                <c:pt idx="3">
                  <c:v>Nablus</c:v>
                </c:pt>
                <c:pt idx="4">
                  <c:v>Ramallah and  Al-Bireh</c:v>
                </c:pt>
              </c:strCache>
            </c:strRef>
          </c:cat>
          <c:val>
            <c:numRef>
              <c:f>Sheet1!$B$2:$F$2</c:f>
              <c:numCache>
                <c:formatCode>General</c:formatCode>
                <c:ptCount val="5"/>
                <c:pt idx="0">
                  <c:v>3.4</c:v>
                </c:pt>
                <c:pt idx="1">
                  <c:v>2</c:v>
                </c:pt>
                <c:pt idx="2">
                  <c:v>1.9</c:v>
                </c:pt>
                <c:pt idx="3">
                  <c:v>1.8</c:v>
                </c:pt>
                <c:pt idx="4">
                  <c:v>0.5</c:v>
                </c:pt>
              </c:numCache>
            </c:numRef>
          </c:val>
          <c:extLst>
            <c:ext xmlns:c16="http://schemas.microsoft.com/office/drawing/2014/chart" uri="{C3380CC4-5D6E-409C-BE32-E72D297353CC}">
              <c16:uniqueId val="{00000004-FCF0-4ACC-A8FC-4BA672F0F59D}"/>
            </c:ext>
          </c:extLst>
        </c:ser>
        <c:dLbls>
          <c:showLegendKey val="0"/>
          <c:showVal val="0"/>
          <c:showCatName val="0"/>
          <c:showSerName val="0"/>
          <c:showPercent val="0"/>
          <c:showBubbleSize val="0"/>
        </c:dLbls>
        <c:gapWidth val="190"/>
        <c:axId val="222259120"/>
        <c:axId val="1"/>
      </c:barChart>
      <c:catAx>
        <c:axId val="222259120"/>
        <c:scaling>
          <c:orientation val="minMax"/>
        </c:scaling>
        <c:delete val="0"/>
        <c:axPos val="b"/>
        <c:title>
          <c:tx>
            <c:rich>
              <a:bodyPr/>
              <a:lstStyle/>
              <a:p>
                <a:pPr>
                  <a:defRPr sz="875" b="1" i="0" u="none" strike="noStrike" baseline="0">
                    <a:solidFill>
                      <a:srgbClr val="000000"/>
                    </a:solidFill>
                    <a:latin typeface="Times New Roman"/>
                    <a:ea typeface="Times New Roman"/>
                    <a:cs typeface="Times New Roman"/>
                  </a:defRPr>
                </a:pPr>
                <a:r>
                  <a:rPr lang="en-GB"/>
                  <a:t>Station</a:t>
                </a:r>
              </a:p>
            </c:rich>
          </c:tx>
          <c:layout>
            <c:manualLayout>
              <c:xMode val="edge"/>
              <c:yMode val="edge"/>
              <c:x val="0.42236024844720499"/>
              <c:y val="0.89"/>
            </c:manualLayout>
          </c:layout>
          <c:overlay val="0"/>
          <c:spPr>
            <a:noFill/>
            <a:ln w="25389">
              <a:noFill/>
            </a:ln>
          </c:spPr>
        </c:title>
        <c:numFmt formatCode="General" sourceLinked="1"/>
        <c:majorTickMark val="none"/>
        <c:minorTickMark val="none"/>
        <c:tickLblPos val="nextTo"/>
        <c:spPr>
          <a:ln w="3174">
            <a:solidFill>
              <a:srgbClr val="000000"/>
            </a:solidFill>
            <a:prstDash val="solid"/>
          </a:ln>
        </c:spPr>
        <c:txPr>
          <a:bodyPr rot="0" vert="horz"/>
          <a:lstStyle/>
          <a:p>
            <a:pPr>
              <a:defRPr sz="625" b="0" i="0" u="none" strike="noStrike" baseline="0">
                <a:solidFill>
                  <a:srgbClr val="000000"/>
                </a:solidFill>
                <a:latin typeface="Arial"/>
                <a:ea typeface="Arial"/>
                <a:cs typeface="Arial"/>
              </a:defRPr>
            </a:pPr>
            <a:endParaRPr lang="en-US"/>
          </a:p>
        </c:txPr>
        <c:crossAx val="1"/>
        <c:crosses val="autoZero"/>
        <c:auto val="1"/>
        <c:lblAlgn val="ctr"/>
        <c:lblOffset val="5"/>
        <c:tickLblSkip val="1"/>
        <c:tickMarkSkip val="1"/>
        <c:noMultiLvlLbl val="0"/>
      </c:catAx>
      <c:valAx>
        <c:axId val="1"/>
        <c:scaling>
          <c:orientation val="minMax"/>
          <c:max val="4"/>
          <c:min val="0"/>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22259120"/>
        <c:crosses val="autoZero"/>
        <c:crossBetween val="between"/>
        <c:majorUnit val="1"/>
      </c:valAx>
      <c:spPr>
        <a:noFill/>
        <a:ln w="25399">
          <a:noFill/>
        </a:ln>
      </c:spPr>
    </c:plotArea>
    <c:plotVisOnly val="1"/>
    <c:dispBlanksAs val="gap"/>
    <c:showDLblsOverMax val="0"/>
  </c:chart>
  <c:spPr>
    <a:noFill/>
    <a:ln w="3174">
      <a:solidFill>
        <a:srgbClr val="000000"/>
      </a:solidFill>
      <a:prstDash val="solid"/>
    </a:ln>
  </c:spPr>
  <c:txPr>
    <a:bodyPr/>
    <a:lstStyle/>
    <a:p>
      <a:pPr>
        <a:defRPr sz="875" b="1"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93174061433447"/>
          <c:y val="6.2146892655367235E-2"/>
          <c:w val="0.85665529010238906"/>
          <c:h val="0.56497175141242939"/>
        </c:manualLayout>
      </c:layout>
      <c:barChart>
        <c:barDir val="col"/>
        <c:grouping val="clustered"/>
        <c:varyColors val="0"/>
        <c:ser>
          <c:idx val="0"/>
          <c:order val="0"/>
          <c:tx>
            <c:strRef>
              <c:f>Sheet1!$A$2</c:f>
              <c:strCache>
                <c:ptCount val="1"/>
                <c:pt idx="0">
                  <c:v>الفرق </c:v>
                </c:pt>
              </c:strCache>
            </c:strRef>
          </c:tx>
          <c:spPr>
            <a:solidFill>
              <a:srgbClr val="9999FF"/>
            </a:solidFill>
            <a:ln w="12722">
              <a:solidFill>
                <a:srgbClr val="000000"/>
              </a:solidFill>
              <a:prstDash val="solid"/>
            </a:ln>
          </c:spPr>
          <c:invertIfNegative val="0"/>
          <c:dLbls>
            <c:dLbl>
              <c:idx val="0"/>
              <c:tx>
                <c:rich>
                  <a:bodyPr wrap="square" lIns="38100" tIns="19050" rIns="38100" bIns="19050" anchor="ctr">
                    <a:spAutoFit/>
                  </a:bodyPr>
                  <a:lstStyle/>
                  <a:p>
                    <a:pPr>
                      <a:defRPr sz="802" b="0" i="0" u="none" strike="noStrike" baseline="0">
                        <a:solidFill>
                          <a:srgbClr val="000000"/>
                        </a:solidFill>
                        <a:latin typeface="Arial"/>
                        <a:ea typeface="Arial"/>
                        <a:cs typeface="Arial"/>
                      </a:defRPr>
                    </a:pPr>
                    <a:r>
                      <a:rPr lang="en-US"/>
                      <a:t>2.9</a:t>
                    </a:r>
                  </a:p>
                </c:rich>
              </c:tx>
              <c:numFmt formatCode="0.0" sourceLinked="0"/>
              <c:spPr>
                <a:noFill/>
                <a:ln w="2544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28-48D6-9DAD-3914EE691F88}"/>
                </c:ext>
              </c:extLst>
            </c:dLbl>
            <c:dLbl>
              <c:idx val="3"/>
              <c:layout>
                <c:manualLayout>
                  <c:x val="-8.82131356511401E-4"/>
                  <c:y val="4.8021647063702291E-3"/>
                </c:manualLayout>
              </c:layout>
              <c:numFmt formatCode="0.0" sourceLinked="0"/>
              <c:spPr>
                <a:noFill/>
                <a:ln w="25445">
                  <a:noFill/>
                </a:ln>
              </c:spPr>
              <c:txPr>
                <a:bodyPr/>
                <a:lstStyle/>
                <a:p>
                  <a:pPr>
                    <a:defRPr sz="803"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28-48D6-9DAD-3914EE691F88}"/>
                </c:ext>
              </c:extLst>
            </c:dLbl>
            <c:dLbl>
              <c:idx val="4"/>
              <c:layout>
                <c:manualLayout>
                  <c:x val="-5.2911987132008174E-3"/>
                  <c:y val="1.0371514620580261E-2"/>
                </c:manualLayout>
              </c:layout>
              <c:numFmt formatCode="0.0" sourceLinked="0"/>
              <c:spPr>
                <a:noFill/>
                <a:ln w="25445">
                  <a:noFill/>
                </a:ln>
              </c:spPr>
              <c:txPr>
                <a:bodyPr/>
                <a:lstStyle/>
                <a:p>
                  <a:pPr>
                    <a:defRPr sz="803"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28-48D6-9DAD-3914EE691F88}"/>
                </c:ext>
              </c:extLst>
            </c:dLbl>
            <c:numFmt formatCode="0.0" sourceLinked="0"/>
            <c:spPr>
              <a:noFill/>
              <a:ln w="25445">
                <a:noFill/>
              </a:ln>
            </c:spPr>
            <c:txPr>
              <a:bodyPr wrap="square" lIns="38100" tIns="19050" rIns="38100" bIns="19050" anchor="ctr">
                <a:spAutoFit/>
              </a:bodyPr>
              <a:lstStyle/>
              <a:p>
                <a:pPr>
                  <a:defRPr sz="803"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Hebron</c:v>
                </c:pt>
                <c:pt idx="2">
                  <c:v>Nablus</c:v>
                </c:pt>
                <c:pt idx="3">
                  <c:v>Ramallah and  Al-Bireh</c:v>
                </c:pt>
                <c:pt idx="4">
                  <c:v>Jenin</c:v>
                </c:pt>
              </c:strCache>
            </c:strRef>
          </c:cat>
          <c:val>
            <c:numRef>
              <c:f>Sheet1!$B$2:$F$2</c:f>
              <c:numCache>
                <c:formatCode>General</c:formatCode>
                <c:ptCount val="5"/>
                <c:pt idx="0">
                  <c:v>2.9</c:v>
                </c:pt>
                <c:pt idx="1">
                  <c:v>2.1</c:v>
                </c:pt>
                <c:pt idx="2">
                  <c:v>2</c:v>
                </c:pt>
                <c:pt idx="3">
                  <c:v>0.9</c:v>
                </c:pt>
                <c:pt idx="4">
                  <c:v>0.7</c:v>
                </c:pt>
              </c:numCache>
            </c:numRef>
          </c:val>
          <c:extLst>
            <c:ext xmlns:c16="http://schemas.microsoft.com/office/drawing/2014/chart" uri="{C3380CC4-5D6E-409C-BE32-E72D297353CC}">
              <c16:uniqueId val="{00000003-E428-48D6-9DAD-3914EE691F88}"/>
            </c:ext>
          </c:extLst>
        </c:ser>
        <c:dLbls>
          <c:showLegendKey val="0"/>
          <c:showVal val="0"/>
          <c:showCatName val="0"/>
          <c:showSerName val="0"/>
          <c:showPercent val="0"/>
          <c:showBubbleSize val="0"/>
        </c:dLbls>
        <c:gapWidth val="190"/>
        <c:axId val="221346224"/>
        <c:axId val="1"/>
      </c:barChart>
      <c:catAx>
        <c:axId val="221346224"/>
        <c:scaling>
          <c:orientation val="minMax"/>
        </c:scaling>
        <c:delete val="0"/>
        <c:axPos val="b"/>
        <c:title>
          <c:tx>
            <c:rich>
              <a:bodyPr/>
              <a:lstStyle/>
              <a:p>
                <a:pPr>
                  <a:defRPr sz="873" b="1" i="0" u="none" strike="noStrike" baseline="0">
                    <a:solidFill>
                      <a:srgbClr val="000000"/>
                    </a:solidFill>
                    <a:latin typeface="Times New Roman"/>
                    <a:ea typeface="Times New Roman"/>
                    <a:cs typeface="Times New Roman"/>
                  </a:defRPr>
                </a:pPr>
                <a:r>
                  <a:rPr lang="en-GB"/>
                  <a:t>Station</a:t>
                </a:r>
              </a:p>
            </c:rich>
          </c:tx>
          <c:layout>
            <c:manualLayout>
              <c:xMode val="edge"/>
              <c:yMode val="edge"/>
              <c:x val="0.42320843515250245"/>
              <c:y val="0.87570639876911938"/>
            </c:manualLayout>
          </c:layout>
          <c:overlay val="0"/>
          <c:spPr>
            <a:noFill/>
            <a:ln w="25445">
              <a:noFill/>
            </a:ln>
          </c:spPr>
        </c:title>
        <c:numFmt formatCode="General" sourceLinked="1"/>
        <c:majorTickMark val="none"/>
        <c:minorTickMark val="none"/>
        <c:tickLblPos val="nextTo"/>
        <c:spPr>
          <a:ln w="3180">
            <a:solidFill>
              <a:srgbClr val="000000"/>
            </a:solidFill>
            <a:prstDash val="solid"/>
          </a:ln>
        </c:spPr>
        <c:txPr>
          <a:bodyPr rot="0" vert="horz"/>
          <a:lstStyle/>
          <a:p>
            <a:pPr>
              <a:defRPr sz="778" b="0" i="0" u="none" strike="noStrike" baseline="0">
                <a:solidFill>
                  <a:srgbClr val="000000"/>
                </a:solidFill>
                <a:latin typeface="Arial"/>
                <a:ea typeface="Arial"/>
                <a:cs typeface="Arial"/>
              </a:defRPr>
            </a:pPr>
            <a:endParaRPr lang="en-US"/>
          </a:p>
        </c:txPr>
        <c:crossAx val="1"/>
        <c:crosses val="autoZero"/>
        <c:auto val="1"/>
        <c:lblAlgn val="ctr"/>
        <c:lblOffset val="5"/>
        <c:tickLblSkip val="1"/>
        <c:tickMarkSkip val="1"/>
        <c:noMultiLvlLbl val="0"/>
      </c:catAx>
      <c:valAx>
        <c:axId val="1"/>
        <c:scaling>
          <c:orientation val="minMax"/>
          <c:max val="3"/>
          <c:min val="0"/>
        </c:scaling>
        <c:delete val="0"/>
        <c:axPos val="l"/>
        <c:title>
          <c:tx>
            <c:rich>
              <a:bodyPr/>
              <a:lstStyle/>
              <a:p>
                <a:pPr>
                  <a:defRPr sz="873" b="1" i="0" u="none" strike="noStrike" baseline="0">
                    <a:solidFill>
                      <a:srgbClr val="000000"/>
                    </a:solidFill>
                    <a:latin typeface="Times New Roman"/>
                    <a:ea typeface="Times New Roman"/>
                    <a:cs typeface="Times New Roman"/>
                  </a:defRPr>
                </a:pPr>
                <a:r>
                  <a:rPr lang="en-GB"/>
                  <a:t>Variations</a:t>
                </a:r>
              </a:p>
            </c:rich>
          </c:tx>
          <c:layout>
            <c:manualLayout>
              <c:xMode val="edge"/>
              <c:yMode val="edge"/>
              <c:x val="6.8256554137629344E-3"/>
              <c:y val="0.17514164177753641"/>
            </c:manualLayout>
          </c:layout>
          <c:overlay val="0"/>
          <c:spPr>
            <a:noFill/>
            <a:ln w="25445">
              <a:noFill/>
            </a:ln>
          </c:spPr>
        </c:title>
        <c:numFmt formatCode="General" sourceLinked="1"/>
        <c:majorTickMark val="out"/>
        <c:minorTickMark val="none"/>
        <c:tickLblPos val="nextTo"/>
        <c:spPr>
          <a:ln w="3180">
            <a:solidFill>
              <a:srgbClr val="000000"/>
            </a:solidFill>
            <a:prstDash val="solid"/>
          </a:ln>
        </c:spPr>
        <c:txPr>
          <a:bodyPr rot="0" vert="horz"/>
          <a:lstStyle/>
          <a:p>
            <a:pPr>
              <a:defRPr sz="853" b="0" i="0" u="none" strike="noStrike" baseline="0">
                <a:solidFill>
                  <a:srgbClr val="000000"/>
                </a:solidFill>
                <a:latin typeface="Arial"/>
                <a:ea typeface="Arial"/>
                <a:cs typeface="Arial"/>
              </a:defRPr>
            </a:pPr>
            <a:endParaRPr lang="en-US"/>
          </a:p>
        </c:txPr>
        <c:crossAx val="221346224"/>
        <c:crosses val="autoZero"/>
        <c:crossBetween val="between"/>
        <c:majorUnit val="1"/>
      </c:valAx>
      <c:spPr>
        <a:noFill/>
        <a:ln w="25483">
          <a:noFill/>
        </a:ln>
      </c:spPr>
    </c:plotArea>
    <c:plotVisOnly val="1"/>
    <c:dispBlanksAs val="gap"/>
    <c:showDLblsOverMax val="0"/>
  </c:chart>
  <c:spPr>
    <a:noFill/>
    <a:ln w="3180">
      <a:solidFill>
        <a:srgbClr val="000000"/>
      </a:solidFill>
      <a:prstDash val="solid"/>
    </a:ln>
  </c:spPr>
  <c:txPr>
    <a:bodyPr/>
    <a:lstStyle/>
    <a:p>
      <a:pPr>
        <a:defRPr sz="803"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54237288135594"/>
          <c:y val="6.4705882352941183E-2"/>
          <c:w val="0.8203389830508474"/>
          <c:h val="0.54117647058823526"/>
        </c:manualLayout>
      </c:layout>
      <c:barChart>
        <c:barDir val="col"/>
        <c:grouping val="clustered"/>
        <c:varyColors val="0"/>
        <c:ser>
          <c:idx val="0"/>
          <c:order val="0"/>
          <c:tx>
            <c:strRef>
              <c:f>Sheet1!$A$2</c:f>
              <c:strCache>
                <c:ptCount val="1"/>
                <c:pt idx="0">
                  <c:v>الفرق </c:v>
                </c:pt>
              </c:strCache>
            </c:strRef>
          </c:tx>
          <c:spPr>
            <a:solidFill>
              <a:srgbClr val="9999FF"/>
            </a:solidFill>
            <a:ln w="12684">
              <a:solidFill>
                <a:srgbClr val="000000"/>
              </a:solidFill>
              <a:prstDash val="solid"/>
            </a:ln>
          </c:spPr>
          <c:invertIfNegative val="0"/>
          <c:dLbls>
            <c:numFmt formatCode="0.0" sourceLinked="0"/>
            <c:spPr>
              <a:noFill/>
              <a:ln w="25368">
                <a:noFill/>
              </a:ln>
            </c:spPr>
            <c:txPr>
              <a:bodyPr wrap="square" lIns="38100" tIns="19050" rIns="38100" bIns="19050" anchor="ctr">
                <a:spAutoFit/>
              </a:bodyPr>
              <a:lstStyle/>
              <a:p>
                <a:pPr>
                  <a:defRPr sz="85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Jenin</c:v>
                </c:pt>
                <c:pt idx="2">
                  <c:v>Hebron</c:v>
                </c:pt>
                <c:pt idx="3">
                  <c:v>Nablus</c:v>
                </c:pt>
                <c:pt idx="4">
                  <c:v>Ramallah</c:v>
                </c:pt>
              </c:strCache>
            </c:strRef>
          </c:cat>
          <c:val>
            <c:numRef>
              <c:f>Sheet1!$B$2:$F$2</c:f>
              <c:numCache>
                <c:formatCode>General</c:formatCode>
                <c:ptCount val="5"/>
                <c:pt idx="0">
                  <c:v>5.6</c:v>
                </c:pt>
                <c:pt idx="1">
                  <c:v>4.5</c:v>
                </c:pt>
                <c:pt idx="2">
                  <c:v>2.8</c:v>
                </c:pt>
                <c:pt idx="3">
                  <c:v>2.6</c:v>
                </c:pt>
                <c:pt idx="4" formatCode="0.0">
                  <c:v>1</c:v>
                </c:pt>
              </c:numCache>
            </c:numRef>
          </c:val>
          <c:extLst>
            <c:ext xmlns:c16="http://schemas.microsoft.com/office/drawing/2014/chart" uri="{C3380CC4-5D6E-409C-BE32-E72D297353CC}">
              <c16:uniqueId val="{00000000-816C-4956-97AF-06343C883D47}"/>
            </c:ext>
          </c:extLst>
        </c:ser>
        <c:dLbls>
          <c:showLegendKey val="0"/>
          <c:showVal val="0"/>
          <c:showCatName val="0"/>
          <c:showSerName val="0"/>
          <c:showPercent val="0"/>
          <c:showBubbleSize val="0"/>
        </c:dLbls>
        <c:gapWidth val="150"/>
        <c:axId val="221343272"/>
        <c:axId val="1"/>
      </c:barChart>
      <c:catAx>
        <c:axId val="221343272"/>
        <c:scaling>
          <c:orientation val="minMax"/>
        </c:scaling>
        <c:delete val="0"/>
        <c:axPos val="b"/>
        <c:title>
          <c:tx>
            <c:rich>
              <a:bodyPr/>
              <a:lstStyle/>
              <a:p>
                <a:pPr>
                  <a:defRPr sz="845" b="1" i="0" u="none" strike="noStrike" baseline="0">
                    <a:solidFill>
                      <a:srgbClr val="000000"/>
                    </a:solidFill>
                    <a:latin typeface="Times New Roman"/>
                    <a:ea typeface="Times New Roman"/>
                    <a:cs typeface="Times New Roman"/>
                  </a:defRPr>
                </a:pPr>
                <a:r>
                  <a:rPr lang="en-GB"/>
                  <a:t>Station</a:t>
                </a:r>
              </a:p>
            </c:rich>
          </c:tx>
          <c:layout>
            <c:manualLayout>
              <c:xMode val="edge"/>
              <c:yMode val="edge"/>
              <c:x val="0.48813571772916137"/>
              <c:y val="0.88235278282522378"/>
            </c:manualLayout>
          </c:layout>
          <c:overlay val="0"/>
          <c:spPr>
            <a:noFill/>
            <a:ln w="25368">
              <a:noFill/>
            </a:ln>
          </c:spPr>
        </c:title>
        <c:numFmt formatCode="General" sourceLinked="1"/>
        <c:majorTickMark val="none"/>
        <c:minorTickMark val="none"/>
        <c:tickLblPos val="nextTo"/>
        <c:spPr>
          <a:ln w="3171">
            <a:solidFill>
              <a:srgbClr val="000000"/>
            </a:solidFill>
            <a:prstDash val="solid"/>
          </a:ln>
        </c:spPr>
        <c:txPr>
          <a:bodyPr rot="0" vert="horz"/>
          <a:lstStyle/>
          <a:p>
            <a:pPr>
              <a:defRPr sz="850" b="0" i="0" u="none" strike="noStrike" baseline="0">
                <a:solidFill>
                  <a:srgbClr val="000000"/>
                </a:solidFill>
                <a:latin typeface="Simplified Arabic"/>
                <a:ea typeface="Simplified Arabic"/>
                <a:cs typeface="Simplified Arabic"/>
              </a:defRPr>
            </a:pPr>
            <a:endParaRPr lang="en-US"/>
          </a:p>
        </c:txPr>
        <c:crossAx val="1"/>
        <c:crosses val="autoZero"/>
        <c:auto val="1"/>
        <c:lblAlgn val="ctr"/>
        <c:lblOffset val="0"/>
        <c:tickLblSkip val="1"/>
        <c:tickMarkSkip val="1"/>
        <c:noMultiLvlLbl val="0"/>
      </c:catAx>
      <c:valAx>
        <c:axId val="1"/>
        <c:scaling>
          <c:orientation val="minMax"/>
          <c:max val="6"/>
        </c:scaling>
        <c:delete val="0"/>
        <c:axPos val="l"/>
        <c:title>
          <c:tx>
            <c:rich>
              <a:bodyPr/>
              <a:lstStyle/>
              <a:p>
                <a:pPr>
                  <a:defRPr sz="845" b="1" i="0" u="none" strike="noStrike" baseline="0">
                    <a:solidFill>
                      <a:srgbClr val="000000"/>
                    </a:solidFill>
                    <a:latin typeface="Times New Roman"/>
                    <a:ea typeface="Times New Roman"/>
                    <a:cs typeface="Times New Roman"/>
                  </a:defRPr>
                </a:pPr>
                <a:r>
                  <a:rPr lang="en-GB"/>
                  <a:t>Variations</a:t>
                </a:r>
              </a:p>
            </c:rich>
          </c:tx>
          <c:layout>
            <c:manualLayout>
              <c:xMode val="edge"/>
              <c:yMode val="edge"/>
              <c:x val="3.3898211703128941E-2"/>
              <c:y val="0.15882360858738812"/>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221343272"/>
        <c:crosses val="autoZero"/>
        <c:crossBetween val="between"/>
        <c:majorUnit val="1"/>
      </c:valAx>
      <c:spPr>
        <a:noFill/>
        <a:ln w="25402">
          <a:noFill/>
        </a:ln>
      </c:spPr>
    </c:plotArea>
    <c:plotVisOnly val="1"/>
    <c:dispBlanksAs val="gap"/>
    <c:showDLblsOverMax val="0"/>
  </c:chart>
  <c:spPr>
    <a:noFill/>
    <a:ln w="3171">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0.002</cdr:y>
    </cdr:from>
    <cdr:to>
      <cdr:x>0.05275</cdr:x>
      <cdr:y>0.992</cdr:y>
    </cdr:to>
    <cdr:sp macro="" textlink="">
      <cdr:nvSpPr>
        <cdr:cNvPr id="1025" name="Text Box 1"/>
        <cdr:cNvSpPr txBox="1">
          <a:spLocks xmlns:a="http://schemas.openxmlformats.org/drawingml/2006/main" noChangeArrowheads="1"/>
        </cdr:cNvSpPr>
      </cdr:nvSpPr>
      <cdr:spPr bwMode="auto">
        <a:xfrm xmlns:a="http://schemas.openxmlformats.org/drawingml/2006/main">
          <a:off x="0" y="3810"/>
          <a:ext cx="161787" cy="18859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0">
            <a:defRPr sz="1000"/>
          </a:pPr>
          <a:r>
            <a:rPr lang="en-US" sz="700" b="0" i="0" u="none" strike="noStrike" baseline="0">
              <a:solidFill>
                <a:srgbClr val="000000"/>
              </a:solidFill>
              <a:latin typeface="Calibri"/>
              <a:cs typeface="Calibri"/>
            </a:rPr>
            <a:t>Difference from the mean averge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0DCF0-C30C-409E-90DB-9D1C26E4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تحتفل المنظمة العالمية للأرصاد الجوية، وأعضاؤها البالغ عددهم 189 ، ومجتمع الأرصاد الجوية على نطاق العالم باليوم العالمي للأرصاد الجوية في 23 آذار/ مارس من كل عام حول موضوع مختار</vt:lpstr>
    </vt:vector>
  </TitlesOfParts>
  <Company>pcbs</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تحتفل المنظمة العالمية للأرصاد الجوية، وأعضاؤها البالغ عددهم 189 ، ومجتمع الأرصاد الجوية على نطاق العالم باليوم العالمي للأرصاد الجوية في 23 آذار/ مارس من كل عام حول موضوع مختار</dc:title>
  <dc:subject/>
  <dc:creator>zahran</dc:creator>
  <cp:keywords/>
  <cp:lastModifiedBy>Mohammed Hodali</cp:lastModifiedBy>
  <cp:revision>2</cp:revision>
  <cp:lastPrinted>2025-03-17T10:32:00Z</cp:lastPrinted>
  <dcterms:created xsi:type="dcterms:W3CDTF">2025-03-20T07:40:00Z</dcterms:created>
  <dcterms:modified xsi:type="dcterms:W3CDTF">2025-03-20T07:40:00Z</dcterms:modified>
</cp:coreProperties>
</file>